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bookmarkStart w:id="0" w:name="P281"/>
      <w:bookmarkEnd w:id="0"/>
      <w:r>
        <w:t xml:space="preserve">                            СОГЛАШЕНИЕ N _____</w:t>
      </w:r>
    </w:p>
    <w:p w:rsidR="00041165" w:rsidRDefault="00041165">
      <w:pPr>
        <w:pStyle w:val="ConsPlusNonformat"/>
        <w:jc w:val="both"/>
      </w:pPr>
      <w:r>
        <w:t xml:space="preserve">                  об организации сбора вторичных ресурсов</w:t>
      </w:r>
    </w:p>
    <w:p w:rsidR="00041165" w:rsidRDefault="00041165">
      <w:pPr>
        <w:pStyle w:val="ConsPlusNonformat"/>
        <w:jc w:val="both"/>
      </w:pPr>
      <w:r>
        <w:t xml:space="preserve">            на территории __________________ городского округа</w:t>
      </w:r>
    </w:p>
    <w:p w:rsidR="00041165" w:rsidRDefault="00041165">
      <w:pPr>
        <w:pStyle w:val="ConsPlusNonformat"/>
        <w:jc w:val="both"/>
      </w:pPr>
      <w:r>
        <w:t xml:space="preserve">                            Московской области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>Московская область, г. _________                  "____" __________ 2024 г.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Администрация/правообладатель _________________________________________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</w:t>
      </w:r>
      <w:proofErr w:type="gramStart"/>
      <w:r>
        <w:t>(наименование администрации городского округа Московской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области/правообладателя земельного участка/здания, строения,</w:t>
      </w:r>
    </w:p>
    <w:p w:rsidR="00041165" w:rsidRDefault="00041165">
      <w:pPr>
        <w:pStyle w:val="ConsPlusNonformat"/>
        <w:jc w:val="both"/>
      </w:pPr>
      <w:r>
        <w:t xml:space="preserve">                          сооружения, помещения)</w:t>
      </w:r>
    </w:p>
    <w:p w:rsidR="00041165" w:rsidRDefault="00041165">
      <w:pPr>
        <w:pStyle w:val="ConsPlusNonformat"/>
        <w:jc w:val="both"/>
      </w:pPr>
      <w:proofErr w:type="gramStart"/>
      <w:r>
        <w:t>действующая</w:t>
      </w:r>
      <w:proofErr w:type="gramEnd"/>
      <w:r>
        <w:t xml:space="preserve"> от имени муниципального образования 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041165" w:rsidRDefault="00041165">
      <w:pPr>
        <w:pStyle w:val="ConsPlusNonformat"/>
        <w:jc w:val="both"/>
      </w:pPr>
      <w:r>
        <w:t>в лице 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</w:t>
      </w:r>
      <w:proofErr w:type="gramStart"/>
      <w:r>
        <w:t>(должность, фамилия, имя, отчество (последнее - при наличии)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уполномоченного должностного лица)</w:t>
      </w:r>
    </w:p>
    <w:p w:rsidR="00041165" w:rsidRDefault="0004116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</w:t>
      </w:r>
      <w:proofErr w:type="gramStart"/>
      <w:r>
        <w:t>(положение, доверенность или иной документ,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        </w:t>
      </w:r>
      <w:proofErr w:type="gramStart"/>
      <w:r>
        <w:t>удостоверяющий</w:t>
      </w:r>
      <w:proofErr w:type="gramEnd"/>
      <w:r>
        <w:t xml:space="preserve"> полномочия)</w:t>
      </w:r>
    </w:p>
    <w:p w:rsidR="00041165" w:rsidRDefault="00041165">
      <w:pPr>
        <w:pStyle w:val="ConsPlusNonformat"/>
        <w:jc w:val="both"/>
      </w:pPr>
      <w:r>
        <w:t>именуемая в дальнейшем "Администрация/Правообладатель", и 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</w:t>
      </w:r>
      <w:proofErr w:type="gramStart"/>
      <w:r>
        <w:t>(наименование хозяйствующего субъекта: юридическое лицо/индивидуальный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предприниматель)</w:t>
      </w:r>
    </w:p>
    <w:p w:rsidR="00041165" w:rsidRDefault="00041165">
      <w:pPr>
        <w:pStyle w:val="ConsPlusNonformat"/>
        <w:jc w:val="both"/>
      </w:pPr>
      <w:r>
        <w:t xml:space="preserve">в лице 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41165" w:rsidRDefault="00041165">
      <w:pPr>
        <w:pStyle w:val="ConsPlusNonformat"/>
        <w:jc w:val="both"/>
      </w:pPr>
      <w:r>
        <w:t xml:space="preserve">        </w:t>
      </w:r>
      <w:proofErr w:type="gramStart"/>
      <w:r>
        <w:t>(должность и ФИО лица, подписывающего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договор)</w:t>
      </w:r>
    </w:p>
    <w:p w:rsidR="00041165" w:rsidRDefault="00041165">
      <w:pPr>
        <w:pStyle w:val="ConsPlusNonformat"/>
        <w:jc w:val="both"/>
      </w:pPr>
      <w:r>
        <w:t>_______________________________________, именуемое в дальнейшем "Оператор",</w:t>
      </w:r>
    </w:p>
    <w:p w:rsidR="00041165" w:rsidRDefault="00041165">
      <w:pPr>
        <w:pStyle w:val="ConsPlusNonformat"/>
        <w:jc w:val="both"/>
      </w:pPr>
      <w:r>
        <w:t xml:space="preserve">       </w:t>
      </w:r>
      <w:proofErr w:type="gramStart"/>
      <w:r>
        <w:t>(устав или иной документ,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</w:t>
      </w:r>
      <w:proofErr w:type="gramStart"/>
      <w:r>
        <w:t>удостоверяющий</w:t>
      </w:r>
      <w:proofErr w:type="gramEnd"/>
      <w:r>
        <w:t xml:space="preserve">  полномочия)</w:t>
      </w:r>
    </w:p>
    <w:p w:rsidR="00041165" w:rsidRDefault="00041165">
      <w:pPr>
        <w:pStyle w:val="ConsPlusNonformat"/>
        <w:jc w:val="both"/>
      </w:pPr>
      <w:r>
        <w:t>совместно именуемые "стороны", пришли к соглашению (далее - Соглашение):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1. Предмет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bookmarkStart w:id="1" w:name="P316"/>
      <w:bookmarkEnd w:id="1"/>
      <w:r>
        <w:t xml:space="preserve">1.1. </w:t>
      </w:r>
      <w:proofErr w:type="gramStart"/>
      <w:r>
        <w:t>Сотрудничество сторон направлено на внедрение на безвозмездной основе практики сбора 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Московской области</w:t>
      </w:r>
      <w:proofErr w:type="gramEnd"/>
      <w:r>
        <w:t>, а также сокращения объема отходов, направляемых на захоронение.</w:t>
      </w:r>
    </w:p>
    <w:p w:rsidR="00041165" w:rsidRDefault="00041165">
      <w:pPr>
        <w:pStyle w:val="ConsPlusNonformat"/>
        <w:spacing w:before="200"/>
        <w:jc w:val="both"/>
      </w:pPr>
      <w:r>
        <w:t xml:space="preserve">    1.2.  Предметом Соглашения является взаимодействие сторон в организации</w:t>
      </w:r>
    </w:p>
    <w:p w:rsidR="00041165" w:rsidRDefault="00041165">
      <w:pPr>
        <w:pStyle w:val="ConsPlusNonformat"/>
        <w:jc w:val="both"/>
      </w:pPr>
      <w:r>
        <w:t>сбора и транспортирования вторичных ресурсов 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(ПЭТ, алюминий/текстиль)</w:t>
      </w:r>
    </w:p>
    <w:p w:rsidR="00041165" w:rsidRDefault="00041165">
      <w:pPr>
        <w:pStyle w:val="ConsPlusNonformat"/>
        <w:jc w:val="both"/>
      </w:pPr>
      <w:r>
        <w:t>за исключением ТКО (далее - ВР), на месте размещения 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r>
        <w:t>по их сбору (далее - емкость для сбора ВР) по адресному ориентиру: ________</w:t>
      </w:r>
    </w:p>
    <w:p w:rsidR="00041165" w:rsidRDefault="00041165">
      <w:pPr>
        <w:pStyle w:val="ConsPlusNonformat"/>
        <w:jc w:val="both"/>
      </w:pPr>
      <w:r>
        <w:t>(далее - Место сбора ВР) для дальнейшей утилизации.</w:t>
      </w:r>
    </w:p>
    <w:p w:rsidR="00041165" w:rsidRDefault="00041165">
      <w:pPr>
        <w:pStyle w:val="ConsPlusNormal"/>
        <w:ind w:firstLine="540"/>
        <w:jc w:val="both"/>
      </w:pPr>
      <w:r>
        <w:t>Настоящим Соглашением регулируются вопросы оборудования и содержания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Предоставляемое Администрацией Место сбора ВР,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емкости для сбора ВР, а также соответствует техническим требованиям, необходимым для корректной работы, установленного </w:t>
      </w:r>
      <w:r>
        <w:lastRenderedPageBreak/>
        <w:t>на Месте сбора ВР емкости для сбора ВР, пожарным нормам и требованиям.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1.4. Сотрудничество в рамках настоящего Соглашения осуществляется в соответствии </w:t>
      </w:r>
      <w:proofErr w:type="gramStart"/>
      <w:r>
        <w:t>с</w:t>
      </w:r>
      <w:proofErr w:type="gramEnd"/>
      <w:r>
        <w:t>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федеральными законами от 24.06.1998 </w:t>
      </w:r>
      <w:hyperlink r:id="rId5">
        <w:r>
          <w:rPr>
            <w:color w:val="0000FF"/>
          </w:rPr>
          <w:t>N 89-ФЗ</w:t>
        </w:r>
      </w:hyperlink>
      <w:r>
        <w:t xml:space="preserve"> "Об отходах производства и потребления", от 04.05.2011 </w:t>
      </w:r>
      <w:hyperlink r:id="rId6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11.08.1995 </w:t>
      </w:r>
      <w:hyperlink r:id="rId7">
        <w:r>
          <w:rPr>
            <w:color w:val="0000FF"/>
          </w:rPr>
          <w:t>N 135-ФЗ</w:t>
        </w:r>
      </w:hyperlink>
      <w:r>
        <w:t xml:space="preserve">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Законом</w:t>
        </w:r>
      </w:hyperlink>
      <w:r>
        <w:t xml:space="preserve"> Московской области N 171/2001-ОЗ "Об отходах производства и потребления в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распоряжением</w:t>
        </w:r>
      </w:hyperlink>
      <w:r>
        <w:t xml:space="preserve"> Министерства по содержанию территорий и государственному жилищному надзору Московской области от 22.07.2024 N 151-р "Об утверждении Порядка накопления твердых коммунальных отходов (в том числе их раздельного накопления) на территории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распоряжением Министерства по содержанию территорий и государственному жилищному надзору Московской области от 04.12.2024 N 325-р "Об утверждении Правил организации раздельного приема (сбора) вторичных ресурсов на территории Московской области".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1.5. 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bookmarkStart w:id="2" w:name="P335"/>
      <w:bookmarkEnd w:id="2"/>
      <w:r>
        <w:t>2. Условия эксплуатации емкости для сбора ВР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2.1. Емкость для сбора ВР должна быть размещена в Месте сбора ВР с твердым покрытием.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К емкостям для сбора ВР относятся: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spellStart"/>
      <w:r>
        <w:t>фандомат</w:t>
      </w:r>
      <w:proofErr w:type="spellEnd"/>
      <w:r>
        <w:t xml:space="preserve"> (</w:t>
      </w:r>
      <w:proofErr w:type="spellStart"/>
      <w:r>
        <w:t>экопункт</w:t>
      </w:r>
      <w:proofErr w:type="spellEnd"/>
      <w:r>
        <w:t>) - техническое устройство, предназначенное для автоматизации процесса сбора вторичных ресурсов на компенсационной основе;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2.2. Размещенный </w:t>
      </w:r>
      <w:proofErr w:type="spellStart"/>
      <w:r>
        <w:t>фандомат</w:t>
      </w:r>
      <w:proofErr w:type="spellEnd"/>
      <w:r>
        <w:t xml:space="preserve"> (</w:t>
      </w:r>
      <w:proofErr w:type="spellStart"/>
      <w:r>
        <w:t>экопункт</w:t>
      </w:r>
      <w:proofErr w:type="spellEnd"/>
      <w:r>
        <w:t>) должен иметь датчи</w:t>
      </w:r>
      <w:proofErr w:type="gramStart"/>
      <w:r>
        <w:t>к(</w:t>
      </w:r>
      <w:proofErr w:type="gramEnd"/>
      <w:r>
        <w:t>и) наполненности емкости, либо возможность решения задачи контроля за ее наполняемостью иными способами, в том числе алгоритмически (</w:t>
      </w:r>
      <w:proofErr w:type="spellStart"/>
      <w:r>
        <w:t>программно</w:t>
      </w:r>
      <w:proofErr w:type="spellEnd"/>
      <w:r>
        <w:t>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Датчи</w:t>
      </w:r>
      <w:proofErr w:type="gramStart"/>
      <w:r>
        <w:t>к(</w:t>
      </w:r>
      <w:proofErr w:type="gramEnd"/>
      <w:r>
        <w:t xml:space="preserve">и) наполненности передает информацию в техническую поддержку Оператора в день заполнения </w:t>
      </w:r>
      <w:proofErr w:type="spellStart"/>
      <w:r>
        <w:t>фандомата</w:t>
      </w:r>
      <w:proofErr w:type="spellEnd"/>
      <w:r>
        <w:t xml:space="preserve"> (</w:t>
      </w:r>
      <w:proofErr w:type="spellStart"/>
      <w:r>
        <w:t>экопункта</w:t>
      </w:r>
      <w:proofErr w:type="spellEnd"/>
      <w:r>
        <w:t xml:space="preserve">). </w:t>
      </w:r>
      <w:proofErr w:type="spellStart"/>
      <w:r>
        <w:t>Фандомат</w:t>
      </w:r>
      <w:proofErr w:type="spellEnd"/>
      <w:r>
        <w:t xml:space="preserve"> (</w:t>
      </w:r>
      <w:proofErr w:type="spellStart"/>
      <w:r>
        <w:t>экопункт</w:t>
      </w:r>
      <w:proofErr w:type="spellEnd"/>
      <w:r>
        <w:t>)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2.3. Размещенный </w:t>
      </w:r>
      <w:proofErr w:type="spellStart"/>
      <w:r>
        <w:t>фандомат</w:t>
      </w:r>
      <w:proofErr w:type="spellEnd"/>
      <w:r>
        <w:t xml:space="preserve"> (</w:t>
      </w:r>
      <w:proofErr w:type="spellStart"/>
      <w:r>
        <w:t>экопункт</w:t>
      </w:r>
      <w:proofErr w:type="spellEnd"/>
      <w: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Информация о неработоспособности </w:t>
      </w:r>
      <w:proofErr w:type="spellStart"/>
      <w:r>
        <w:t>фандомата</w:t>
      </w:r>
      <w:proofErr w:type="spellEnd"/>
      <w:r>
        <w:t xml:space="preserve"> (</w:t>
      </w:r>
      <w:proofErr w:type="spellStart"/>
      <w:r>
        <w:t>экопункта</w:t>
      </w:r>
      <w:proofErr w:type="spellEnd"/>
      <w:r>
        <w:t xml:space="preserve">) поступает в техническую поддержку Оператора в день его поломки. Неисправность аппарата должна быть устранена Оператором в течение 2 (двух) рабочих дней </w:t>
      </w:r>
      <w:proofErr w:type="gramStart"/>
      <w:r>
        <w:t>с даты поломки</w:t>
      </w:r>
      <w:proofErr w:type="gramEnd"/>
      <w:r>
        <w:t xml:space="preserve"> </w:t>
      </w:r>
      <w:proofErr w:type="spellStart"/>
      <w:r>
        <w:t>фандомата</w:t>
      </w:r>
      <w:proofErr w:type="spellEnd"/>
      <w:r>
        <w:t xml:space="preserve"> (</w:t>
      </w:r>
      <w:proofErr w:type="spellStart"/>
      <w:r>
        <w:t>экопункта</w:t>
      </w:r>
      <w:proofErr w:type="spellEnd"/>
      <w:r>
        <w:t>). В случае невозможности устранения поломки в течение 2 (двух)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2.4. Размещение бака должно быть сопряжено с внедрением системы контроля его наполняемости.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</w:t>
      </w:r>
      <w:proofErr w:type="spellStart"/>
      <w:r>
        <w:t>программно</w:t>
      </w:r>
      <w:proofErr w:type="spellEnd"/>
      <w:r>
        <w:t>), а также по запросу жителя и (или) Администрации. Бак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логотипа Министерства;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перечня принимаемых организацией фракций (одежда, обувь, игрушки и т.п.) с иконками для каждой в единой стилистике;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инструкция пользования емкостью.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2.6. Емкости для сбора ВР должны находиться в технически исправном состоянии.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Техническое обслуживание емкости для сбора ВР должно проводиться ежемесячно и включать в себя осмотр емкости для сбора ВР на наличие повреждений, дефектов и работоспособности. В случае обнаружения повреждений они должны быть устранены в течение 2 (двух) рабочих дней со дня их обнаружения. В случае невозможности устранения повреждений в течение 2 (двух) рабочих дней Оператор информирует Администрацию о причине невозможности их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2.7. Дезинфекция емкости для сбора ВР должна производиться ежеквартально и по мере необходимости.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2.8. В случае потускнения или выцветания емкости для сбора ВР должны быть своевременно окрашены.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3. Права и обязанности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3.1. Права и обязанности Администрации/Правообладателя: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3.1.1. Назначить лицо, ответственное за взаимодействие с Оператором по вопросам исполнения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3.1.2. Содержать Место сбора ВР в надлежащем техническом состоянии, производить текущий и капитальный ремонт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3.1.3. Обеспечивать надлежащее санитарно-техническое состояние подъездных путей к Месту сбора ВР для беспрепятственного передвижения автотранспортных средств Оператора в рамках полномочий и действующего законодательства.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3.1.4. Направлять Оператору уведомления о ненадлежащем пользовании Места сбора ВР с требованиями устранения нарушений.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3.1.5. </w:t>
      </w:r>
      <w:proofErr w:type="gramStart"/>
      <w:r>
        <w:t>Администрация/правообладатель вправе предоставить Оператору компенсационное Место сбора ВР, предусмотренное Перечнем мест сбора ВР и размещенное на земельных участках, находящихся в государственной или муниципальной собственности, а также государственная собственность на которые не разграничена,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емкости для сбора ВР более 7</w:t>
      </w:r>
      <w:proofErr w:type="gramEnd"/>
      <w:r>
        <w:t xml:space="preserve"> (семи) рабочих дней; изъятия места сбора ВР 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совместно с Оператором составляет акт о невозможности эксплуатации Оператором емкости для сбора ВР, в том числе в случае проведения, аварийных работ, при которых создается угроза жизни и здоровью пользователям. На основании подписанного сторонами акта о невозможности эксплуатации Оператором емкости для сбора ВР Администрация/правообладатель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уведомляет Оператора о проведении запланированных ремонтных работ, которые могут повлиять на эксплуатацию емкости для сбора ВР, и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 Права и обязанности Оператора: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3.2.1. Разместить ___________________ по сбору 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(</w:t>
      </w:r>
      <w:proofErr w:type="spellStart"/>
      <w:r>
        <w:t>фандомат</w:t>
      </w:r>
      <w:proofErr w:type="spellEnd"/>
      <w:r>
        <w:t>/бак)            (ПЭТ, алюминий/текстиль)</w:t>
      </w:r>
    </w:p>
    <w:p w:rsidR="00041165" w:rsidRDefault="00041165">
      <w:pPr>
        <w:pStyle w:val="ConsPlusNonformat"/>
        <w:jc w:val="both"/>
      </w:pPr>
      <w:r>
        <w:t xml:space="preserve">в  соответствии  с  настоящим Соглашением в течение 7 (семи) рабочих дней </w:t>
      </w:r>
      <w:proofErr w:type="gramStart"/>
      <w:r>
        <w:t>с</w:t>
      </w:r>
      <w:proofErr w:type="gramEnd"/>
    </w:p>
    <w:p w:rsidR="00041165" w:rsidRDefault="00041165">
      <w:pPr>
        <w:pStyle w:val="ConsPlusNonformat"/>
        <w:jc w:val="both"/>
      </w:pPr>
      <w:r>
        <w:t>даты заключения настоящего Соглашения.</w:t>
      </w:r>
    </w:p>
    <w:p w:rsidR="00041165" w:rsidRDefault="00041165">
      <w:pPr>
        <w:pStyle w:val="ConsPlusNormal"/>
        <w:ind w:firstLine="540"/>
        <w:jc w:val="both"/>
      </w:pPr>
      <w:r>
        <w:t>3.2.2. Использовать Место сбора ВР по целевому назначению и в соответствии с настоящим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3.2.3. Обеспечить эксплуатацию емкости для сбора ВР в соответствии с </w:t>
      </w:r>
      <w:hyperlink w:anchor="P335">
        <w:r>
          <w:rPr>
            <w:color w:val="0000FF"/>
          </w:rPr>
          <w:t>пунктом 2</w:t>
        </w:r>
      </w:hyperlink>
      <w:r>
        <w:t xml:space="preserve">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3.2.4. Обеспечить в течение 4 (четырех) рабочих дней </w:t>
      </w:r>
      <w:proofErr w:type="gramStart"/>
      <w:r>
        <w:t>с даты заключения</w:t>
      </w:r>
      <w:proofErr w:type="gramEnd"/>
      <w:r>
        <w:t xml:space="preserve"> настоящего Соглашения укладку твердого покрытия в Месте сбора ВР в случае его отсутствия.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3.2.5. Обеспечить сбор ВР в __________________________, </w:t>
      </w:r>
      <w:proofErr w:type="gramStart"/>
      <w:r>
        <w:t>соответствующих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hyperlink w:anchor="P316">
        <w:r>
          <w:rPr>
            <w:color w:val="0000FF"/>
          </w:rPr>
          <w:t>пункту 1.1</w:t>
        </w:r>
      </w:hyperlink>
      <w:r>
        <w:t xml:space="preserve"> настоящего Соглашения.</w:t>
      </w:r>
    </w:p>
    <w:p w:rsidR="00041165" w:rsidRDefault="00041165">
      <w:pPr>
        <w:pStyle w:val="ConsPlusNonformat"/>
        <w:jc w:val="both"/>
      </w:pPr>
      <w:r>
        <w:t xml:space="preserve">    3.2.6.   В   течение   всего  срока  действия  Соглашения  обеспечивать</w:t>
      </w:r>
    </w:p>
    <w:p w:rsidR="00041165" w:rsidRDefault="00041165">
      <w:pPr>
        <w:pStyle w:val="ConsPlusNonformat"/>
        <w:jc w:val="both"/>
      </w:pPr>
      <w:r>
        <w:t>надлежащее состояние и внешний вид 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r>
        <w:t xml:space="preserve">    3.2.7. Не допускать переполненности ____________________ более 2 (двух)</w:t>
      </w:r>
    </w:p>
    <w:p w:rsidR="00041165" w:rsidRDefault="00041165">
      <w:pPr>
        <w:pStyle w:val="ConsPlusNonformat"/>
        <w:jc w:val="both"/>
      </w:pPr>
      <w:r>
        <w:t xml:space="preserve">      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r>
        <w:t>рабочих  дней,  осуществлять  вывоз  ВР  с  Места сбора ВР, в том числе ВР,</w:t>
      </w:r>
    </w:p>
    <w:p w:rsidR="00041165" w:rsidRDefault="00041165">
      <w:pPr>
        <w:pStyle w:val="ConsPlusNonformat"/>
        <w:jc w:val="both"/>
      </w:pPr>
      <w:r>
        <w:t xml:space="preserve">размещенные в непосредственной близости </w:t>
      </w:r>
      <w:proofErr w:type="gramStart"/>
      <w:r>
        <w:t>к</w:t>
      </w:r>
      <w:proofErr w:type="gramEnd"/>
      <w:r>
        <w:t xml:space="preserve"> _______________________.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r>
        <w:t xml:space="preserve">    3.2.8.  Привлекать  под  погрузку  исправные автотранспортные средства,</w:t>
      </w:r>
    </w:p>
    <w:p w:rsidR="00041165" w:rsidRDefault="00041165">
      <w:pPr>
        <w:pStyle w:val="ConsPlusNonformat"/>
        <w:jc w:val="both"/>
      </w:pPr>
      <w:proofErr w:type="gramStart"/>
      <w:r>
        <w:t>пригодные для транспортирования ВР.</w:t>
      </w:r>
      <w:proofErr w:type="gramEnd"/>
    </w:p>
    <w:p w:rsidR="00041165" w:rsidRDefault="00041165">
      <w:pPr>
        <w:pStyle w:val="ConsPlusNonformat"/>
        <w:jc w:val="both"/>
      </w:pPr>
      <w:r>
        <w:t xml:space="preserve">    3.2.9. Осуществлять загрузку и выгрузку 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(</w:t>
      </w:r>
      <w:proofErr w:type="spellStart"/>
      <w:r>
        <w:t>фандомат</w:t>
      </w:r>
      <w:proofErr w:type="spellEnd"/>
      <w:r>
        <w:t>/бак)</w:t>
      </w:r>
    </w:p>
    <w:p w:rsidR="00041165" w:rsidRDefault="00041165">
      <w:pPr>
        <w:pStyle w:val="ConsPlusNonformat"/>
        <w:jc w:val="both"/>
      </w:pPr>
      <w:r>
        <w:t>в автотранспортные средства своими силами и средствами, соблюдая требования</w:t>
      </w:r>
    </w:p>
    <w:p w:rsidR="00041165" w:rsidRDefault="00041165">
      <w:pPr>
        <w:pStyle w:val="ConsPlusNonformat"/>
        <w:jc w:val="both"/>
      </w:pPr>
      <w:r>
        <w:t xml:space="preserve">безопасности   движения,  обеспечивая  сохранность  ВР  и  </w:t>
      </w:r>
      <w:proofErr w:type="gramStart"/>
      <w:r>
        <w:t>автотранспортных</w:t>
      </w:r>
      <w:proofErr w:type="gramEnd"/>
    </w:p>
    <w:p w:rsidR="00041165" w:rsidRDefault="00041165">
      <w:pPr>
        <w:pStyle w:val="ConsPlusNonformat"/>
        <w:jc w:val="both"/>
      </w:pPr>
      <w:r>
        <w:t>средств  и  не допускать на Месте сбора ВР простоя автотранспортных средств</w:t>
      </w:r>
    </w:p>
    <w:p w:rsidR="00041165" w:rsidRDefault="00041165">
      <w:pPr>
        <w:pStyle w:val="ConsPlusNonformat"/>
        <w:jc w:val="both"/>
      </w:pPr>
      <w:r>
        <w:t>под погрузкой или выгрузкой более 30 мин.</w:t>
      </w:r>
    </w:p>
    <w:p w:rsidR="00041165" w:rsidRDefault="00041165">
      <w:pPr>
        <w:pStyle w:val="ConsPlusNormal"/>
        <w:ind w:firstLine="540"/>
        <w:jc w:val="both"/>
      </w:pPr>
      <w:r>
        <w:t>3.2.10. Обеспечить сохранность ВР при его транспортировании.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3.2.11. </w:t>
      </w:r>
      <w:proofErr w:type="gramStart"/>
      <w:r>
        <w:t xml:space="preserve">Ежеквартально до 5 числа месяца, следующего за отчетным, предоставлять Администрации </w:t>
      </w:r>
      <w:hyperlink w:anchor="P463">
        <w:r>
          <w:rPr>
            <w:color w:val="0000FF"/>
          </w:rPr>
          <w:t>информацию</w:t>
        </w:r>
      </w:hyperlink>
      <w:r>
        <w:t xml:space="preserve"> об объемах сбора ВР по Форме предоставления в соответствии с приложением к настоящему Соглашению.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По письменному запросу Администрации предоставлять следующую информацию: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наличии документации для транспортирования и передачи ВР, целях и местах назначения его транспортирования;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обработку, утилизацию, обезвреживание и размещение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об объектах хранения, обработки и утилизации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автотранспортных сре</w:t>
      </w:r>
      <w:proofErr w:type="gramStart"/>
      <w:r>
        <w:t>дств с г</w:t>
      </w:r>
      <w:proofErr w:type="gramEnd"/>
      <w:r>
        <w:t>осударственными регистрационными знаками, осуществляющих транспортирование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3.2.12. Право на утилизацию, передачу третьим лицам (включая права распоряжения отходами) и экспорт ВР принадлежит Оператору. При реализации вышеуказанных прав Оператор обязан руководствоваться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3.2.13. По окончании срока действия или расторжения Соглашения: освобождает Место сбора ВР, приводит Место сбора ВР в первоначальное состояние, письменно уведомляет Администрацию об освобождении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3.3. Сторона, для которой возникли условия невозможности выполнения обязательств по настоящему Соглашению, обязана в течение 3 (трех) рабочих дней известить другую сторону о наступлении и прекращении вышеуказанных обстоятельств.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3.4. Стороны обязаны уведомить друг друга об изменении своих почтовых адресов, банковских, иных реквизитов в срок не позднее 2 (двух) рабочих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4. Срок действия, изменение и расторжение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4.1. Настоящее Соглашение вступает в силу со дня его подписания сторонами и действует до "___" __________ 20__ года.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4.2. 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4.3. Соглашение может быть расторгнуто: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 соглашению сторон;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судебном порядке;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>в связи с односторонним отказом Оператора от исполнения обязательств по Соглашению на условиях</w:t>
      </w:r>
      <w:proofErr w:type="gramEnd"/>
      <w:r>
        <w:t xml:space="preserve"> и в порядке, установленных законодательством Российской Федерации и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4.4. 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нецелевое использование Оператором Места сбора ВР в соответствии с видом емкости и видом отходов;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поступление более трех подтвержденных жалоб от пользователей о </w:t>
      </w:r>
      <w:proofErr w:type="spellStart"/>
      <w:r>
        <w:t>неустранении</w:t>
      </w:r>
      <w:proofErr w:type="spellEnd"/>
      <w:r>
        <w:t xml:space="preserve"> ранее заявленных этими же пользователями нарушений (на содержание, вывоз ВР, технически неисправное состояние и т.п.);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прекращения Оператором в установленном законом порядке своей деятельности;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случае принятия Администрацией решения об использовании земельного участка (земель), в границах которого размещается Место сбора ВР, для иных целей, в том числе для муниципальных (государственных) нужд.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4.5. 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</w:t>
      </w:r>
      <w:proofErr w:type="gramStart"/>
      <w:r>
        <w:t>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gramStart"/>
      <w:r>
        <w:t>вручении</w:t>
      </w:r>
      <w:proofErr w:type="gramEnd"/>
      <w:r>
        <w:t xml:space="preserve"> Оператору.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по его адресу места нахождения.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5 (пяти) календарных дней </w:t>
      </w:r>
      <w:proofErr w:type="gramStart"/>
      <w:r>
        <w:t>с даты размещения</w:t>
      </w:r>
      <w:proofErr w:type="gramEnd"/>
      <w:r>
        <w:t xml:space="preserve"> решения Администрации об одностороннем отказе от исполнения Соглашения на официальном сайте в информационно-телекоммуникационной сети Интернет Администрации.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5 (пять) календарных дней </w:t>
      </w:r>
      <w:proofErr w:type="gramStart"/>
      <w:r>
        <w:t>с даты</w:t>
      </w:r>
      <w:proofErr w:type="gramEnd"/>
      <w:r>
        <w:t xml:space="preserve"> надлежащего уведомления Администрацией Оператора об одностороннем отказе от исполнения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4.6. Расторжение Соглашения по соглашению сторон производится путем подписания соответствующего соглашения о расторжении.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5. Порядок разрешения споров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5.1. В случае возникновения споров и разногласий стороны примут все меры по их разрешению путем переговоров.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5.3. 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6. Прочие условия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6.1. Настоящее Соглашение составлено в 2 (двух) экземплярах, имеющих равную юридическую силу, по одному для каждой из сторон.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6.2. Вся информация, полученная сторонами в ходе реализации Соглашения, считается конфиденциальной и не подлежит разглашению или передаче третьим лицам.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7. Адреса и реквизиты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7.1. Администрация: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7.2. Оператор: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8. Подписи сторон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530"/>
        <w:gridCol w:w="2941"/>
        <w:gridCol w:w="1538"/>
      </w:tblGrid>
      <w:tr w:rsidR="00041165"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Администрация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Оператор</w:t>
            </w:r>
          </w:p>
        </w:tc>
      </w:tr>
      <w:tr w:rsidR="0004116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</w:tr>
      <w:tr w:rsidR="00041165">
        <w:tblPrEx>
          <w:tblBorders>
            <w:insideH w:val="none" w:sz="0" w:space="0" w:color="auto"/>
            <w:insideV w:val="nil"/>
          </w:tblBorders>
        </w:tblPrEx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2"/>
      </w:pPr>
      <w:r>
        <w:t>Приложение</w:t>
      </w:r>
    </w:p>
    <w:p w:rsidR="00041165" w:rsidRDefault="00041165">
      <w:pPr>
        <w:pStyle w:val="ConsPlusNormal"/>
        <w:jc w:val="right"/>
      </w:pPr>
      <w:r>
        <w:t>к Соглашению об организации сбора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_______________ городского округа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bookmarkStart w:id="3" w:name="P463"/>
      <w:bookmarkEnd w:id="3"/>
      <w:r>
        <w:t xml:space="preserve">                                ИНФОРМАЦИЯ</w:t>
      </w:r>
    </w:p>
    <w:p w:rsidR="00041165" w:rsidRDefault="00041165">
      <w:pPr>
        <w:pStyle w:val="ConsPlusNonformat"/>
        <w:jc w:val="both"/>
      </w:pPr>
      <w:r>
        <w:t xml:space="preserve">           об объемах сбора 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</w:t>
      </w:r>
      <w:proofErr w:type="gramStart"/>
      <w:r>
        <w:t>(вид отходов:</w:t>
      </w:r>
      <w:proofErr w:type="gramEnd"/>
      <w:r>
        <w:t xml:space="preserve"> </w:t>
      </w:r>
      <w:proofErr w:type="gramStart"/>
      <w:r>
        <w:t>ПЭТ, алюминий/текстиль)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оператором 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хозяйствующего субъекта: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юридическое лицо/индивидуальный предприниматель)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sectPr w:rsidR="000411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701"/>
        <w:gridCol w:w="1871"/>
        <w:gridCol w:w="1531"/>
        <w:gridCol w:w="2041"/>
        <w:gridCol w:w="2381"/>
      </w:tblGrid>
      <w:tr w:rsidR="00041165">
        <w:tc>
          <w:tcPr>
            <w:tcW w:w="595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городского округа</w:t>
            </w:r>
          </w:p>
        </w:tc>
        <w:tc>
          <w:tcPr>
            <w:tcW w:w="187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Вид емкости (</w:t>
            </w:r>
            <w:proofErr w:type="spellStart"/>
            <w:r>
              <w:t>фандомат</w:t>
            </w:r>
            <w:proofErr w:type="spellEnd"/>
            <w:r>
              <w:t xml:space="preserve"> (</w:t>
            </w:r>
            <w:proofErr w:type="spellStart"/>
            <w:r>
              <w:t>экопункт</w:t>
            </w:r>
            <w:proofErr w:type="spellEnd"/>
            <w:r>
              <w:t>)/бак)</w:t>
            </w:r>
          </w:p>
        </w:tc>
        <w:tc>
          <w:tcPr>
            <w:tcW w:w="153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Количество емкостей (шт.)</w:t>
            </w:r>
          </w:p>
        </w:tc>
        <w:tc>
          <w:tcPr>
            <w:tcW w:w="4422" w:type="dxa"/>
            <w:gridSpan w:val="2"/>
          </w:tcPr>
          <w:p w:rsidR="00041165" w:rsidRDefault="00041165">
            <w:pPr>
              <w:pStyle w:val="ConsPlusNormal"/>
              <w:jc w:val="center"/>
            </w:pPr>
            <w:r>
              <w:t>Собранный объем</w:t>
            </w:r>
          </w:p>
        </w:tc>
      </w:tr>
      <w:tr w:rsidR="00041165">
        <w:tc>
          <w:tcPr>
            <w:tcW w:w="595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_____, шт.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алюминий)</w:t>
            </w:r>
            <w:proofErr w:type="gramEnd"/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____, </w:t>
            </w:r>
            <w:proofErr w:type="gramStart"/>
            <w:r>
              <w:t>кг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алюминий/текстиль)</w:t>
            </w:r>
            <w:proofErr w:type="gramEnd"/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381" w:type="dxa"/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  <w:bookmarkStart w:id="4" w:name="_GoBack"/>
      <w:bookmarkEnd w:id="4"/>
    </w:p>
    <w:sectPr w:rsidR="0004116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65"/>
    <w:rsid w:val="00041165"/>
    <w:rsid w:val="000610D4"/>
    <w:rsid w:val="001F5B5A"/>
    <w:rsid w:val="0041010B"/>
    <w:rsid w:val="0045021C"/>
    <w:rsid w:val="00647ACD"/>
    <w:rsid w:val="00700E85"/>
    <w:rsid w:val="008C3152"/>
    <w:rsid w:val="00B37EAA"/>
    <w:rsid w:val="00C475C6"/>
    <w:rsid w:val="00E7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2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709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03" TargetMode="External"/><Relationship Id="rId11" Type="http://schemas.openxmlformats.org/officeDocument/2006/relationships/hyperlink" Target="https://login.consultant.ru/link/?req=doc&amp;base=MOB&amp;n=448290" TargetMode="External"/><Relationship Id="rId5" Type="http://schemas.openxmlformats.org/officeDocument/2006/relationships/hyperlink" Target="https://login.consultant.ru/link/?req=doc&amp;base=LAW&amp;n=511657" TargetMode="External"/><Relationship Id="rId10" Type="http://schemas.openxmlformats.org/officeDocument/2006/relationships/hyperlink" Target="https://login.consultant.ru/link/?req=doc&amp;base=MOB&amp;n=446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4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2963</Words>
  <Characters>16893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1. Предмет Соглашения</vt:lpstr>
      <vt:lpstr>        2. Условия эксплуатации емкости для сбора ВР</vt:lpstr>
      <vt:lpstr>        3. Права и обязанности сторон</vt:lpstr>
      <vt:lpstr>        4. Срок действия, изменение и расторжение Соглашения</vt:lpstr>
      <vt:lpstr>        5. Порядок разрешения споров</vt:lpstr>
      <vt:lpstr>        6. Прочие условия</vt:lpstr>
      <vt:lpstr>        7. Адреса и реквизиты сторон</vt:lpstr>
      <vt:lpstr>        8. Подписи сторон</vt:lpstr>
      <vt:lpstr>        Приложение</vt:lpstr>
    </vt:vector>
  </TitlesOfParts>
  <Company/>
  <LinksUpToDate>false</LinksUpToDate>
  <CharactersWithSpaces>19817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P18U20</dc:creator>
  <cp:lastModifiedBy>P18U20</cp:lastModifiedBy>
  <cp:revision>2</cp:revision>
  <dcterms:created xsi:type="dcterms:W3CDTF">2026-03-12T07:54:00Z</dcterms:created>
  <dcterms:modified xsi:type="dcterms:W3CDTF">2026-03-12T07:54:00Z</dcterms:modified>
</cp:coreProperties>
</file>