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40"/>
      </w:tblGrid>
      <w:tr>
        <w:trPr>
          <w:trHeight w:hRule="atLeast" w:val="964"/>
        </w:trPr>
        <w:tc>
          <w:tcPr>
            <w:tcW w:type="dxa" w:w="9640"/>
            <w:tcBorders>
              <w:top w:sz="4" w:val="nil"/>
              <w:left w:sz="4" w:val="nil"/>
              <w:bottom w:sz="4" w:val="nil"/>
              <w:right w:sz="4" w:val="nil"/>
            </w:tcBorders>
          </w:tcPr>
          <w:tbl>
            <w:tblPr>
              <w:tblStyle w:val="Style_1"/>
              <w:tblLayout w:type="fixed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>
              <w:trPr>
                <w:trHeight w:hRule="atLeast" w:val="2567"/>
              </w:trPr>
              <w:tc>
                <w:tcPr>
                  <w:tcW w:type="dxa" w:w="9524"/>
                  <w:gridSpan w:val="5"/>
                </w:tcPr>
                <w:p w14:paraId="01000000">
                  <w:pPr>
                    <w:spacing w:line="360" w:lineRule="auto"/>
                    <w:ind/>
                    <w:jc w:val="center"/>
                    <w:rPr>
                      <w:b w:val="1"/>
                      <w:sz w:val="8"/>
                    </w:rPr>
                  </w:pPr>
                </w:p>
                <w:p w14:paraId="02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drawing>
                      <wp:inline>
                        <wp:extent cx="588645" cy="739775"/>
                        <wp:effectExtent b="0" l="0" r="0" t="0"/>
                        <wp:docPr hidden="false" id="2" name="Picture 2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1" name="Picture 1"/>
                                <pic:cNvPicPr preferRelativeResize="true"/>
                              </pic:nvPicPr>
                              <pic:blipFill>
                                <a:blip r:embed="rId1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588645" cy="7397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3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СОВЕТ ДЕПУТАТОВ</w:t>
                  </w:r>
                </w:p>
                <w:p w14:paraId="04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 xml:space="preserve">РАМЕНСКОГО </w:t>
                  </w:r>
                  <w:r>
                    <w:rPr>
                      <w:b w:val="1"/>
                      <w:sz w:val="36"/>
                    </w:rPr>
                    <w:t>ГОРОДСКОГО ОКРУГА</w:t>
                  </w:r>
                </w:p>
                <w:p w14:paraId="05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МОСКОВСКОЙ ОБЛАСТИ</w:t>
                  </w:r>
                </w:p>
              </w:tc>
            </w:tr>
            <w:tr>
              <w:trPr>
                <w:trHeight w:hRule="atLeast" w:val="1555"/>
              </w:trPr>
              <w:tc>
                <w:tcPr>
                  <w:tcW w:type="dxa" w:w="9524"/>
                  <w:gridSpan w:val="5"/>
                </w:tcPr>
                <w:p w14:paraId="06000000">
                  <w:pPr>
                    <w:ind/>
                    <w:jc w:val="center"/>
                    <w:rPr>
                      <w:b w:val="1"/>
                      <w:sz w:val="6"/>
                    </w:rPr>
                  </w:pPr>
                </w:p>
                <w:p w14:paraId="07000000">
                  <w:pPr>
                    <w:ind/>
                    <w:jc w:val="center"/>
                    <w:rPr>
                      <w:b w:val="1"/>
                      <w:sz w:val="24"/>
                    </w:rPr>
                  </w:pPr>
                  <w:r>
                    <w:rPr>
                      <w:b w:val="1"/>
                      <w:sz w:val="24"/>
                    </w:rPr>
                    <w:t>140100, г. Раменское, Комсомольская площадь, д. 2</w:t>
                  </w:r>
                </w:p>
                <w:p w14:paraId="08000000">
                  <w:pPr>
                    <w:ind/>
                    <w:jc w:val="center"/>
                    <w:rPr>
                      <w:b w:val="1"/>
                    </w:rPr>
                  </w:pPr>
                </w:p>
                <w:p w14:paraId="09000000">
                  <w:pPr>
                    <w:ind/>
                    <w:jc w:val="center"/>
                    <w:rPr>
                      <w:b w:val="1"/>
                    </w:rPr>
                  </w:pPr>
                </w:p>
                <w:p w14:paraId="0A000000">
                  <w:pPr>
                    <w:ind/>
                    <w:jc w:val="center"/>
                    <w:rPr>
                      <w:b w:val="1"/>
                      <w:sz w:val="36"/>
                    </w:rPr>
                  </w:pPr>
                  <w:r>
                    <w:rPr>
                      <w:b w:val="1"/>
                      <w:sz w:val="36"/>
                    </w:rPr>
                    <w:t>Р Е Ш Е Н И Е</w:t>
                  </w:r>
                </w:p>
                <w:p w14:paraId="0B000000">
                  <w:pPr>
                    <w:ind/>
                    <w:jc w:val="center"/>
                    <w:rPr>
                      <w:b w:val="1"/>
                      <w:sz w:val="24"/>
                    </w:rPr>
                  </w:pPr>
                </w:p>
              </w:tc>
            </w:tr>
            <w:tr>
              <w:trPr>
                <w:trHeight w:hRule="atLeast" w:val="317"/>
              </w:trPr>
              <w:tc>
                <w:tcPr>
                  <w:tcW w:type="dxa" w:w="134"/>
                </w:tcPr>
                <w:p/>
              </w:tc>
              <w:tc>
                <w:tcPr>
                  <w:tcW w:type="dxa" w:w="3904"/>
                </w:tcPr>
                <w:p w14:paraId="0C000000">
                  <w:pPr>
                    <w:ind/>
                    <w:jc w:val="both"/>
                    <w:rPr>
                      <w:spacing w:val="-20"/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 xml:space="preserve">          20.12.2023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</w:p>
              </w:tc>
              <w:tc>
                <w:tcPr>
                  <w:tcW w:type="dxa" w:w="2131"/>
                </w:tcPr>
                <w:p w14:paraId="0D000000">
                  <w:pPr>
                    <w:ind/>
                    <w:jc w:val="both"/>
                    <w:rPr>
                      <w:spacing w:val="-20"/>
                      <w:sz w:val="28"/>
                    </w:rPr>
                  </w:pPr>
                </w:p>
              </w:tc>
              <w:tc>
                <w:tcPr>
                  <w:tcW w:type="dxa" w:w="2817"/>
                </w:tcPr>
                <w:p w14:paraId="0E000000">
                  <w:pPr>
                    <w:rPr>
                      <w:sz w:val="28"/>
                    </w:rPr>
                  </w:pPr>
                  <w:r>
                    <w:rPr>
                      <w:spacing w:val="-20"/>
                      <w:sz w:val="28"/>
                    </w:rPr>
                    <w:t xml:space="preserve"> №  </w:t>
                  </w:r>
                  <w:r>
                    <w:rPr>
                      <w:sz w:val="28"/>
                    </w:rPr>
                    <w:t>20/6-СД</w:t>
                  </w:r>
                </w:p>
              </w:tc>
              <w:tc>
                <w:tcPr>
                  <w:tcW w:type="dxa" w:w="538"/>
                </w:tcPr>
                <w:p/>
              </w:tc>
            </w:tr>
          </w:tbl>
          <w:p w14:paraId="0F000000">
            <w:pPr>
              <w:ind/>
              <w:jc w:val="center"/>
            </w:pPr>
          </w:p>
        </w:tc>
      </w:tr>
    </w:tbl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sz w:val="28"/>
        </w:rPr>
      </w:pPr>
      <w:r>
        <w:rPr>
          <w:sz w:val="28"/>
        </w:rPr>
        <w:t>О внесении изменений в Положение</w:t>
      </w:r>
      <w:r>
        <w:rPr>
          <w:sz w:val="28"/>
        </w:rPr>
        <w:t xml:space="preserve"> о муниципальном жилищном контроле на территории Раменского городского округа </w:t>
      </w:r>
      <w:r>
        <w:rPr>
          <w:sz w:val="28"/>
        </w:rPr>
        <w:t>Московской области</w:t>
      </w:r>
      <w:r>
        <w:rPr>
          <w:sz w:val="28"/>
        </w:rPr>
        <w:t xml:space="preserve">, утвержденное решением Совета депутатов Раменского городского округа Московской области </w:t>
      </w:r>
      <w:r>
        <w:rPr>
          <w:sz w:val="28"/>
        </w:rPr>
        <w:t xml:space="preserve">       </w:t>
      </w:r>
      <w:r>
        <w:rPr>
          <w:sz w:val="28"/>
        </w:rPr>
        <w:t xml:space="preserve">от 21.02.2023 № 2/9-СД </w:t>
      </w:r>
    </w:p>
    <w:p w14:paraId="12000000">
      <w:pPr>
        <w:ind/>
        <w:jc w:val="both"/>
        <w:rPr>
          <w:sz w:val="28"/>
        </w:rPr>
      </w:pPr>
    </w:p>
    <w:p w14:paraId="13000000">
      <w:pPr>
        <w:ind w:firstLine="709" w:right="-2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соответствии </w:t>
      </w:r>
      <w:r>
        <w:rPr>
          <w:spacing w:val="2"/>
          <w:sz w:val="28"/>
        </w:rPr>
        <w:t>с Жилищным кодексом</w:t>
      </w:r>
      <w:r>
        <w:rPr>
          <w:spacing w:val="2"/>
          <w:sz w:val="28"/>
        </w:rPr>
        <w:t xml:space="preserve"> Российской Федерации, Федеральным</w:t>
      </w:r>
      <w:r>
        <w:rPr>
          <w:spacing w:val="2"/>
          <w:sz w:val="28"/>
        </w:rPr>
        <w:t xml:space="preserve"> законом</w:t>
      </w:r>
      <w:r>
        <w:rPr>
          <w:spacing w:val="2"/>
          <w:sz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pacing w:val="2"/>
          <w:sz w:val="28"/>
        </w:rPr>
        <w:t xml:space="preserve">, </w:t>
      </w:r>
      <w:r>
        <w:rPr>
          <w:spacing w:val="2"/>
          <w:sz w:val="28"/>
        </w:rPr>
        <w:t xml:space="preserve">Федеральным законом </w:t>
      </w:r>
      <w:r>
        <w:rPr>
          <w:spacing w:val="2"/>
          <w:sz w:val="28"/>
        </w:rPr>
        <w:t>от 31.07.2020 № 248-ФЗ «О государственном контроле (надзоре) и муниципальном контроле в Российской</w:t>
      </w:r>
      <w:bookmarkStart w:id="1" w:name="_GoBack"/>
      <w:bookmarkEnd w:id="1"/>
      <w:r>
        <w:rPr>
          <w:spacing w:val="2"/>
          <w:sz w:val="28"/>
        </w:rPr>
        <w:t xml:space="preserve"> Федерации», Уставом Раменского городского округа Московской области</w:t>
      </w:r>
    </w:p>
    <w:p w14:paraId="14000000">
      <w:pPr>
        <w:ind/>
        <w:jc w:val="both"/>
        <w:rPr>
          <w:sz w:val="28"/>
        </w:rPr>
      </w:pPr>
    </w:p>
    <w:p w14:paraId="15000000">
      <w:pPr>
        <w:ind w:firstLine="720"/>
        <w:jc w:val="center"/>
        <w:rPr>
          <w:b w:val="1"/>
          <w:sz w:val="28"/>
        </w:rPr>
      </w:pPr>
      <w:r>
        <w:rPr>
          <w:b w:val="1"/>
          <w:sz w:val="28"/>
        </w:rPr>
        <w:t>Совет депутатов Раменского городского округа РЕШИЛ:</w:t>
      </w:r>
    </w:p>
    <w:p w14:paraId="16000000">
      <w:pPr>
        <w:ind w:firstLine="720"/>
        <w:rPr>
          <w:b w:val="1"/>
          <w:sz w:val="28"/>
        </w:rPr>
      </w:pPr>
    </w:p>
    <w:p w14:paraId="17000000">
      <w:pPr>
        <w:pStyle w:val="Style_2"/>
        <w:numPr>
          <w:ilvl w:val="0"/>
          <w:numId w:val="1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 xml:space="preserve">Внести в Положение о муниципальном жилищном контроле на территории Раменского городского округа Московской области, утвержденное решением Совета депутатов Раменского городского округа </w:t>
      </w:r>
      <w:r>
        <w:t xml:space="preserve">Московской области </w:t>
      </w:r>
      <w:r>
        <w:t>от 21.02</w:t>
      </w:r>
      <w:r>
        <w:t xml:space="preserve">.2023 </w:t>
      </w:r>
      <w:r>
        <w:t xml:space="preserve">                </w:t>
      </w:r>
      <w:r>
        <w:t>№ 2/9-СД, следующие изменения</w:t>
      </w:r>
      <w:r>
        <w:t>:</w:t>
      </w:r>
    </w:p>
    <w:p w14:paraId="18000000">
      <w:pPr>
        <w:pStyle w:val="Style_2"/>
        <w:numPr>
          <w:ilvl w:val="1"/>
          <w:numId w:val="2"/>
        </w:numPr>
        <w:tabs>
          <w:tab w:leader="none" w:pos="0" w:val="left"/>
          <w:tab w:leader="none" w:pos="567" w:val="left"/>
          <w:tab w:leader="none" w:pos="851" w:val="left"/>
        </w:tabs>
        <w:ind w:hanging="83" w:left="83"/>
      </w:pPr>
      <w:r>
        <w:t>п</w:t>
      </w:r>
      <w:r>
        <w:t xml:space="preserve">ункт 1.3. </w:t>
      </w:r>
      <w:r>
        <w:t xml:space="preserve">раздела 1 </w:t>
      </w:r>
      <w:r>
        <w:t>изложить в следующей редакции:</w:t>
      </w:r>
    </w:p>
    <w:p w14:paraId="19000000">
      <w:pPr>
        <w:pStyle w:val="Style_2"/>
        <w:tabs>
          <w:tab w:leader="none" w:pos="0" w:val="left"/>
          <w:tab w:leader="none" w:pos="567" w:val="left"/>
          <w:tab w:leader="none" w:pos="851" w:val="left"/>
          <w:tab w:leader="none" w:pos="1276" w:val="left"/>
          <w:tab w:leader="none" w:pos="1418" w:val="left"/>
        </w:tabs>
        <w:ind w:firstLine="709"/>
      </w:pPr>
      <w:r>
        <w:t>«</w:t>
      </w:r>
      <w:r>
        <w:t>1.3.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</w:t>
      </w:r>
      <w:r>
        <w:t xml:space="preserve"> </w:t>
      </w:r>
      <w:r>
        <w:t>-</w:t>
      </w:r>
      <w:r>
        <w:t xml:space="preserve"> </w:t>
      </w:r>
      <w:r>
        <w:t xml:space="preserve">12 части 1 статьи 20 Жилищного кодекса Российской Федерации, в отношении </w:t>
      </w:r>
      <w:r>
        <w:t>муниципального жилищного фонда»;</w:t>
      </w:r>
    </w:p>
    <w:p w14:paraId="1A000000">
      <w:pPr>
        <w:pStyle w:val="Style_2"/>
        <w:numPr>
          <w:ilvl w:val="1"/>
          <w:numId w:val="2"/>
        </w:numPr>
        <w:tabs>
          <w:tab w:leader="none" w:pos="0" w:val="left"/>
          <w:tab w:leader="none" w:pos="567" w:val="left"/>
          <w:tab w:leader="none" w:pos="851" w:val="left"/>
        </w:tabs>
        <w:ind w:hanging="83" w:left="83"/>
      </w:pPr>
      <w:r>
        <w:t>п</w:t>
      </w:r>
      <w:r>
        <w:t xml:space="preserve">ункт 4.8. </w:t>
      </w:r>
      <w:r>
        <w:t xml:space="preserve">раздела 4 </w:t>
      </w:r>
      <w:r>
        <w:t>изложить в следующей редакции:</w:t>
      </w:r>
    </w:p>
    <w:p w14:paraId="1B000000">
      <w:pPr>
        <w:pStyle w:val="Style_2"/>
        <w:tabs>
          <w:tab w:leader="none" w:pos="0" w:val="left"/>
          <w:tab w:leader="none" w:pos="567" w:val="left"/>
          <w:tab w:leader="none" w:pos="1134" w:val="left"/>
        </w:tabs>
        <w:ind w:firstLine="709"/>
      </w:pPr>
      <w:r>
        <w:t>«4.8.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1C000000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</w:t>
      </w:r>
      <w:r>
        <w:rPr>
          <w:sz w:val="28"/>
        </w:rPr>
        <w:t>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1D000000">
      <w:pPr>
        <w:ind w:firstLine="709"/>
        <w:jc w:val="both"/>
        <w:rPr>
          <w:sz w:val="28"/>
        </w:rPr>
      </w:pPr>
      <w:r>
        <w:rPr>
          <w:sz w:val="28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14:paraId="1E000000">
      <w:pPr>
        <w:ind w:firstLine="709"/>
        <w:jc w:val="both"/>
        <w:rPr>
          <w:sz w:val="28"/>
        </w:rPr>
      </w:pPr>
      <w:r>
        <w:rPr>
          <w:sz w:val="28"/>
        </w:rPr>
        <w:t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</w:r>
    </w:p>
    <w:p w14:paraId="1F000000">
      <w:pPr>
        <w:ind w:firstLine="709"/>
        <w:jc w:val="both"/>
        <w:rPr>
          <w:sz w:val="28"/>
        </w:rPr>
      </w:pPr>
      <w:r>
        <w:rPr>
          <w:sz w:val="28"/>
        </w:rPr>
        <w:t>Обязательный профилактический визит проводится в течение одного рабочего дня.</w:t>
      </w:r>
      <w:r>
        <w:rPr>
          <w:sz w:val="28"/>
        </w:rPr>
        <w:t xml:space="preserve"> По ходатайству должностного лица контрольного (надзорного) органа, проводящего обязательный профилактический визит, срок проведения обязательного профилактического визита может быть продлен на срок не более трех рабочих дней.</w:t>
      </w:r>
    </w:p>
    <w:p w14:paraId="20000000">
      <w:pPr>
        <w:ind w:firstLine="709"/>
        <w:jc w:val="both"/>
        <w:rPr>
          <w:sz w:val="28"/>
        </w:rPr>
      </w:pPr>
      <w:r>
        <w:rPr>
          <w:sz w:val="28"/>
        </w:rPr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14:paraId="21000000">
      <w:pPr>
        <w:ind w:firstLine="709"/>
        <w:jc w:val="both"/>
        <w:rPr>
          <w:sz w:val="28"/>
        </w:rPr>
      </w:pPr>
      <w:r>
        <w:rPr>
          <w:sz w:val="28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22000000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 w:val="28"/>
        </w:rPr>
        <w:t>должностное лицо контрольного (надзорного) органа</w:t>
      </w:r>
      <w:r>
        <w:rPr>
          <w:sz w:val="28"/>
        </w:rPr>
        <w:t xml:space="preserve"> незамедлительно</w:t>
      </w:r>
      <w:r>
        <w:rPr>
          <w:sz w:val="28"/>
        </w:rPr>
        <w:t xml:space="preserve"> направляет информацию об этом руководителю</w:t>
      </w:r>
      <w:r>
        <w:rPr>
          <w:sz w:val="28"/>
        </w:rPr>
        <w:t xml:space="preserve"> контрольного (надзорного) органа для принятия решения о проведении контрольных (надзорных) мероприятий.</w:t>
      </w:r>
    </w:p>
    <w:p w14:paraId="23000000">
      <w:pPr>
        <w:ind w:firstLine="709"/>
        <w:jc w:val="both"/>
        <w:rPr>
          <w:sz w:val="28"/>
        </w:rPr>
      </w:pPr>
      <w:r>
        <w:rPr>
          <w:sz w:val="28"/>
        </w:rPr>
        <w:t>Контролируемое лицо вправе обратиться в контрольный (надзорный) орган с заявлением о проведении в отношении его профилакт</w:t>
      </w:r>
      <w:r>
        <w:rPr>
          <w:sz w:val="28"/>
        </w:rPr>
        <w:t>ического визита</w:t>
      </w:r>
      <w:r>
        <w:rPr>
          <w:sz w:val="28"/>
        </w:rPr>
        <w:t xml:space="preserve"> в порядке, предусмотренн</w:t>
      </w:r>
      <w:r>
        <w:rPr>
          <w:sz w:val="28"/>
        </w:rPr>
        <w:t xml:space="preserve">ом </w:t>
      </w:r>
      <w:r>
        <w:rPr>
          <w:sz w:val="28"/>
        </w:rPr>
        <w:t>частями 11 - 13 статьи 52 Федерального закона</w:t>
      </w:r>
      <w:r>
        <w:rPr>
          <w:sz w:val="28"/>
        </w:rPr>
        <w:t xml:space="preserve"> № 248-ФЗ».</w:t>
      </w:r>
    </w:p>
    <w:p w14:paraId="24000000">
      <w:pPr>
        <w:pStyle w:val="Style_2"/>
        <w:numPr>
          <w:ilvl w:val="0"/>
          <w:numId w:val="1"/>
        </w:numPr>
        <w:tabs>
          <w:tab w:leader="none" w:pos="0" w:val="left"/>
          <w:tab w:leader="none" w:pos="567" w:val="left"/>
          <w:tab w:leader="none" w:pos="1134" w:val="left"/>
        </w:tabs>
        <w:ind w:firstLine="709" w:left="0"/>
      </w:pPr>
      <w:r>
        <w:t>О</w:t>
      </w:r>
      <w:r>
        <w:t>публиковать настоящее р</w:t>
      </w:r>
      <w:r>
        <w:t xml:space="preserve">ешение в </w:t>
      </w:r>
      <w:r>
        <w:t>официальном</w:t>
      </w:r>
      <w:r>
        <w:t xml:space="preserve"> печатном издании </w:t>
      </w:r>
      <w:r>
        <w:t>газете «Родник» и разместить на офиц</w:t>
      </w:r>
      <w:r>
        <w:t xml:space="preserve">иальном информационном портале 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"http://www.ramenskoye.ru"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www</w:t>
      </w:r>
      <w:r>
        <w:rPr>
          <w:rStyle w:val="Style_3_ch"/>
          <w:color w:val="000000"/>
          <w:u w:val="none"/>
        </w:rPr>
        <w:t>.ramenskoye.ru</w:t>
      </w:r>
      <w:r>
        <w:rPr>
          <w:rStyle w:val="Style_3_ch"/>
          <w:color w:val="000000"/>
          <w:u w:val="none"/>
        </w:rPr>
        <w:fldChar w:fldCharType="end"/>
      </w:r>
      <w:r>
        <w:t>.</w:t>
      </w:r>
    </w:p>
    <w:p w14:paraId="25000000">
      <w:pPr>
        <w:pStyle w:val="Style_4"/>
        <w:numPr>
          <w:ilvl w:val="0"/>
          <w:numId w:val="1"/>
        </w:numPr>
        <w:tabs>
          <w:tab w:leader="none" w:pos="567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Конт</w:t>
      </w:r>
      <w:r>
        <w:rPr>
          <w:sz w:val="28"/>
        </w:rPr>
        <w:t>роль за исполнением настоящего р</w:t>
      </w:r>
      <w:r>
        <w:rPr>
          <w:sz w:val="28"/>
        </w:rPr>
        <w:t xml:space="preserve">ешения возложить на постоянную </w:t>
      </w:r>
      <w:r>
        <w:rPr>
          <w:sz w:val="28"/>
        </w:rPr>
        <w:t>комиссию Совета депутатов Раменского городского округа по жилищной политике и жилищно-коммунальному хозяйству.</w:t>
      </w: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  <w:r>
        <w:rPr>
          <w:sz w:val="28"/>
        </w:rPr>
        <w:t>Председатель Совета депутатов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Ю.А. Ермаков </w:t>
      </w:r>
    </w:p>
    <w:p w14:paraId="2A000000">
      <w:pPr>
        <w:ind/>
        <w:jc w:val="both"/>
        <w:rPr>
          <w:sz w:val="28"/>
        </w:rPr>
      </w:pPr>
    </w:p>
    <w:p w14:paraId="2B000000">
      <w:pPr>
        <w:spacing w:line="276" w:lineRule="auto"/>
        <w:ind/>
        <w:jc w:val="both"/>
        <w:rPr>
          <w:sz w:val="28"/>
        </w:rPr>
      </w:pPr>
    </w:p>
    <w:p w14:paraId="2C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Глава Раменского городского округа          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>Н.А. Ханин</w:t>
      </w:r>
      <w:r>
        <w:rPr>
          <w:sz w:val="28"/>
        </w:rPr>
        <w:t xml:space="preserve"> </w:t>
      </w:r>
    </w:p>
    <w:sectPr>
      <w:pgSz w:h="16838" w:orient="portrait" w:w="11906"/>
      <w:pgMar w:bottom="1134" w:footer="709" w:gutter="0" w:header="709" w:left="1134" w:right="68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bullet"/>
      <w:lvlText w:val="-"/>
      <w:lvlJc w:val="left"/>
      <w:pPr>
        <w:ind w:hanging="432" w:left="792"/>
      </w:pPr>
      <w:rPr>
        <w:rFonts w:ascii="Sitka Text" w:hAnsi="Sitka Text"/>
      </w:r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3.%3."/>
      <w:lvlJc w:val="left"/>
      <w:pPr>
        <w:ind w:hanging="504" w:left="1781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2" w:type="paragraph">
    <w:name w:val="Body Text"/>
    <w:basedOn w:val="Style_5"/>
    <w:link w:val="Style_2_ch"/>
    <w:pPr>
      <w:ind/>
      <w:jc w:val="both"/>
    </w:pPr>
    <w:rPr>
      <w:sz w:val="28"/>
    </w:rPr>
  </w:style>
  <w:style w:styleId="Style_2_ch" w:type="character">
    <w:name w:val="Body Text"/>
    <w:basedOn w:val="Style_5_ch"/>
    <w:link w:val="Style_2"/>
    <w:rPr>
      <w:sz w:val="28"/>
    </w:rPr>
  </w:style>
  <w:style w:styleId="Style_12" w:type="paragraph">
    <w:name w:val="Balloon Text"/>
    <w:basedOn w:val="Style_5"/>
    <w:link w:val="Style_12_ch"/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  <w:rPr>
      <w:sz w:val="24"/>
    </w:rPr>
  </w:style>
  <w:style w:styleId="Style_4_ch" w:type="character">
    <w:name w:val="List Paragraph"/>
    <w:basedOn w:val="Style_5_ch"/>
    <w:link w:val="Style_4"/>
    <w:rPr>
      <w:sz w:val="24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er"/>
    <w:basedOn w:val="Style_5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5_ch"/>
    <w:link w:val="Style_15"/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basedOn w:val="Style_17"/>
    <w:link w:val="Style_3_ch"/>
    <w:rPr>
      <w:color w:themeColor="hyperlink" w:val="0563C1"/>
      <w:u w:val="single"/>
    </w:rPr>
  </w:style>
  <w:style w:styleId="Style_3_ch" w:type="character">
    <w:name w:val="Hyperlink"/>
    <w:basedOn w:val="Style_17_ch"/>
    <w:link w:val="Style_3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oc 10"/>
    <w:next w:val="Style_5"/>
    <w:link w:val="Style_25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5_ch" w:type="character">
    <w:name w:val="toc 10"/>
    <w:link w:val="Style_25"/>
    <w:rPr>
      <w:rFonts w:ascii="XO Thames" w:hAnsi="XO Thames"/>
      <w:sz w:val="28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ConsPlusNormal"/>
    <w:link w:val="Style_2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9_ch" w:type="character">
    <w:name w:val="ConsPlusNormal"/>
    <w:link w:val="Style_29"/>
    <w:rPr>
      <w:rFonts w:ascii="Times New Roman" w:hAnsi="Times New Roman"/>
      <w:sz w:val="24"/>
    </w:rPr>
  </w:style>
  <w:style w:styleId="Style_30" w:type="paragraph">
    <w:name w:val="heading 6"/>
    <w:basedOn w:val="Style_5"/>
    <w:next w:val="Style_5"/>
    <w:link w:val="Style_30_ch"/>
    <w:uiPriority w:val="9"/>
    <w:qFormat/>
    <w:pPr>
      <w:keepNext w:val="1"/>
      <w:spacing w:line="360" w:lineRule="auto"/>
      <w:ind/>
      <w:jc w:val="center"/>
      <w:outlineLvl w:val="5"/>
    </w:pPr>
    <w:rPr>
      <w:b w:val="1"/>
      <w:sz w:val="36"/>
    </w:rPr>
  </w:style>
  <w:style w:styleId="Style_30_ch" w:type="character">
    <w:name w:val="heading 6"/>
    <w:basedOn w:val="Style_5_ch"/>
    <w:link w:val="Style_30"/>
    <w:rPr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2023-12-22T12:53:49Z</dcterms:modified>
</cp:coreProperties>
</file>