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5D" w:rsidRDefault="00E0705D">
      <w:pPr>
        <w:pStyle w:val="11"/>
        <w:spacing w:after="240" w:line="314" w:lineRule="auto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ОБЪЯВЛЕНИЕ ОБ ОТБОРЕ</w:t>
      </w:r>
    </w:p>
    <w:p w:rsidR="001B4B57" w:rsidRPr="00E0705D" w:rsidRDefault="008431D4">
      <w:pPr>
        <w:pStyle w:val="11"/>
        <w:spacing w:after="240" w:line="314" w:lineRule="auto"/>
        <w:jc w:val="center"/>
        <w:rPr>
          <w:sz w:val="28"/>
          <w:szCs w:val="28"/>
        </w:rPr>
      </w:pPr>
      <w:proofErr w:type="gramStart"/>
      <w:r w:rsidRPr="00E0705D">
        <w:rPr>
          <w:rStyle w:val="a3"/>
          <w:b/>
          <w:bCs/>
          <w:sz w:val="28"/>
          <w:szCs w:val="28"/>
        </w:rPr>
        <w:t>Конкурсный отбор на предоставление в 202</w:t>
      </w:r>
      <w:r w:rsidR="001A7FC4" w:rsidRPr="00E0705D">
        <w:rPr>
          <w:rStyle w:val="a3"/>
          <w:b/>
          <w:bCs/>
          <w:sz w:val="28"/>
          <w:szCs w:val="28"/>
        </w:rPr>
        <w:t>6</w:t>
      </w:r>
      <w:r w:rsidRPr="00E0705D">
        <w:rPr>
          <w:rStyle w:val="a3"/>
          <w:b/>
          <w:bCs/>
          <w:sz w:val="28"/>
          <w:szCs w:val="28"/>
        </w:rPr>
        <w:t xml:space="preserve"> году субсидии социально ориентированным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некоммерческим организациям, не являющимся государственными (муниципальными)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 xml:space="preserve">учреждениями, осуществляющим деятельность на территории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 xml:space="preserve">Московской области, из муниципального бюджета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>в соответствии</w:t>
      </w:r>
      <w:r w:rsidR="001A7FC4" w:rsidRP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с муниципальной программой "Социальная защита населения"</w:t>
      </w:r>
      <w:proofErr w:type="gramEnd"/>
    </w:p>
    <w:p w:rsidR="001B4B57" w:rsidRPr="00E0705D" w:rsidRDefault="008431D4" w:rsidP="00E0705D">
      <w:pPr>
        <w:pStyle w:val="11"/>
        <w:spacing w:after="240" w:line="314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Основная информация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наименование отбора</w:t>
      </w:r>
    </w:p>
    <w:p w:rsidR="001A7FC4" w:rsidRPr="00E0705D" w:rsidRDefault="001A7FC4" w:rsidP="001A7FC4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rPr>
          <w:rStyle w:val="21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наименование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Предоставление субсидий СО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Способ отбора</w:t>
      </w:r>
    </w:p>
    <w:p w:rsidR="001B4B57" w:rsidRPr="00E0705D" w:rsidRDefault="008431D4">
      <w:pPr>
        <w:pStyle w:val="22"/>
        <w:spacing w:after="40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конкурс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описание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Предоставление субсидий социально ориентированным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after="40" w:line="240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описание отбора</w:t>
      </w:r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rPr>
          <w:rStyle w:val="a3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Организатор отбора</w:t>
      </w:r>
    </w:p>
    <w:p w:rsidR="001B4B57" w:rsidRPr="00E0705D" w:rsidRDefault="001A7FC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Администрация Раменского муниципального округа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Почтовый адрес: 140</w:t>
      </w:r>
      <w:r w:rsidR="001A7FC4" w:rsidRPr="00E0705D">
        <w:rPr>
          <w:rStyle w:val="21"/>
          <w:sz w:val="28"/>
          <w:szCs w:val="28"/>
        </w:rPr>
        <w:t>1</w:t>
      </w:r>
      <w:r w:rsidRPr="00E0705D">
        <w:rPr>
          <w:rStyle w:val="21"/>
          <w:sz w:val="28"/>
          <w:szCs w:val="28"/>
        </w:rPr>
        <w:t xml:space="preserve">00, </w:t>
      </w:r>
      <w:r w:rsidR="001A7FC4" w:rsidRPr="00E0705D">
        <w:rPr>
          <w:rStyle w:val="21"/>
          <w:sz w:val="28"/>
          <w:szCs w:val="28"/>
        </w:rPr>
        <w:t xml:space="preserve">Московская область, </w:t>
      </w:r>
      <w:proofErr w:type="gramStart"/>
      <w:r w:rsidR="001A7FC4" w:rsidRPr="00E0705D">
        <w:rPr>
          <w:rStyle w:val="21"/>
          <w:sz w:val="28"/>
          <w:szCs w:val="28"/>
        </w:rPr>
        <w:t>г</w:t>
      </w:r>
      <w:proofErr w:type="gramEnd"/>
      <w:r w:rsidR="001A7FC4" w:rsidRPr="00E0705D">
        <w:rPr>
          <w:rStyle w:val="21"/>
          <w:sz w:val="28"/>
          <w:szCs w:val="28"/>
        </w:rPr>
        <w:t xml:space="preserve"> Раменское, Комсомольская площадь, д. 2</w:t>
      </w:r>
    </w:p>
    <w:p w:rsidR="001B4B57" w:rsidRPr="00E0705D" w:rsidRDefault="008431D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Адрес электронной почты: </w:t>
      </w:r>
      <w:hyperlink r:id="rId8" w:history="1">
        <w:r w:rsidR="001A7FC4" w:rsidRPr="00E0705D">
          <w:rPr>
            <w:rStyle w:val="a8"/>
            <w:sz w:val="28"/>
            <w:szCs w:val="28"/>
            <w:lang w:val="en-US" w:eastAsia="en-US" w:bidi="en-US"/>
          </w:rPr>
          <w:t>umsp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-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ram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@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yandex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.</w:t>
        </w:r>
        <w:proofErr w:type="spellStart"/>
        <w:r w:rsidR="001A7FC4" w:rsidRPr="00E0705D">
          <w:rPr>
            <w:rStyle w:val="a8"/>
            <w:sz w:val="28"/>
            <w:szCs w:val="28"/>
            <w:lang w:val="en-US" w:eastAsia="en-US" w:bidi="en-US"/>
          </w:rPr>
          <w:t>ru</w:t>
        </w:r>
        <w:proofErr w:type="spellEnd"/>
      </w:hyperlink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Контактный телефон: +749</w:t>
      </w:r>
      <w:r w:rsidR="001A7FC4" w:rsidRPr="00E0705D">
        <w:rPr>
          <w:rStyle w:val="21"/>
          <w:sz w:val="28"/>
          <w:szCs w:val="28"/>
        </w:rPr>
        <w:t>64617687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Регулирующий документ</w:t>
      </w:r>
    </w:p>
    <w:p w:rsidR="001B4B57" w:rsidRPr="00E0705D" w:rsidRDefault="001A7FC4" w:rsidP="00E0705D">
      <w:pPr>
        <w:pStyle w:val="22"/>
        <w:jc w:val="both"/>
        <w:rPr>
          <w:rStyle w:val="21"/>
          <w:sz w:val="28"/>
          <w:szCs w:val="28"/>
        </w:rPr>
      </w:pPr>
      <w:r w:rsidRPr="00E0705D">
        <w:rPr>
          <w:sz w:val="28"/>
          <w:szCs w:val="28"/>
        </w:rPr>
        <w:t>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</w:t>
      </w:r>
      <w:r w:rsidRPr="00E0705D">
        <w:rPr>
          <w:rStyle w:val="21"/>
          <w:color w:val="0000FF"/>
          <w:sz w:val="28"/>
          <w:szCs w:val="28"/>
        </w:rPr>
        <w:t xml:space="preserve">» </w:t>
      </w:r>
      <w:proofErr w:type="gramStart"/>
      <w:r w:rsidR="008431D4" w:rsidRPr="00E0705D">
        <w:rPr>
          <w:rStyle w:val="21"/>
          <w:sz w:val="28"/>
          <w:szCs w:val="28"/>
        </w:rPr>
        <w:t>Утвержденный</w:t>
      </w:r>
      <w:proofErr w:type="gramEnd"/>
      <w:r w:rsidR="008431D4" w:rsidRPr="00E0705D">
        <w:rPr>
          <w:rStyle w:val="21"/>
          <w:sz w:val="28"/>
          <w:szCs w:val="28"/>
        </w:rPr>
        <w:t xml:space="preserve"> Постановлением </w:t>
      </w:r>
      <w:r w:rsidRPr="00E0705D">
        <w:rPr>
          <w:rStyle w:val="21"/>
          <w:sz w:val="28"/>
          <w:szCs w:val="28"/>
        </w:rPr>
        <w:t xml:space="preserve">Раменского муниципального округа </w:t>
      </w:r>
      <w:r w:rsidR="008431D4" w:rsidRPr="00E0705D">
        <w:rPr>
          <w:rStyle w:val="21"/>
          <w:sz w:val="28"/>
          <w:szCs w:val="28"/>
        </w:rPr>
        <w:t xml:space="preserve"> от </w:t>
      </w:r>
      <w:r w:rsidRPr="00E0705D">
        <w:rPr>
          <w:rStyle w:val="21"/>
          <w:sz w:val="28"/>
          <w:szCs w:val="28"/>
        </w:rPr>
        <w:t>29.04.2026</w:t>
      </w:r>
      <w:r w:rsidR="008431D4" w:rsidRPr="00E0705D">
        <w:rPr>
          <w:rStyle w:val="21"/>
          <w:sz w:val="28"/>
          <w:szCs w:val="28"/>
        </w:rPr>
        <w:t xml:space="preserve"> №</w:t>
      </w:r>
      <w:r w:rsidRPr="00E0705D">
        <w:rPr>
          <w:rStyle w:val="21"/>
          <w:sz w:val="28"/>
          <w:szCs w:val="28"/>
        </w:rPr>
        <w:t>1568</w:t>
      </w:r>
    </w:p>
    <w:p w:rsidR="001A7FC4" w:rsidRPr="00E0705D" w:rsidRDefault="001A7FC4" w:rsidP="001A7FC4">
      <w:pPr>
        <w:pStyle w:val="22"/>
        <w:rPr>
          <w:sz w:val="28"/>
          <w:szCs w:val="28"/>
        </w:rPr>
      </w:pP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приема заявок</w:t>
      </w:r>
    </w:p>
    <w:p w:rsidR="001B4B57" w:rsidRPr="00E0705D" w:rsidRDefault="00220D76">
      <w:pPr>
        <w:pStyle w:val="22"/>
        <w:spacing w:after="240" w:line="331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>13</w:t>
      </w:r>
      <w:r w:rsidR="002D7F0B">
        <w:rPr>
          <w:rStyle w:val="21"/>
          <w:sz w:val="28"/>
          <w:szCs w:val="28"/>
        </w:rPr>
        <w:t>.07</w:t>
      </w:r>
      <w:r w:rsidR="001A7FC4" w:rsidRPr="00E0705D">
        <w:rPr>
          <w:rStyle w:val="21"/>
          <w:sz w:val="28"/>
          <w:szCs w:val="28"/>
        </w:rPr>
        <w:t>.2026</w:t>
      </w:r>
      <w:r w:rsidR="008431D4" w:rsidRPr="00E0705D">
        <w:rPr>
          <w:rStyle w:val="21"/>
          <w:sz w:val="28"/>
          <w:szCs w:val="28"/>
        </w:rPr>
        <w:t xml:space="preserve"> </w:t>
      </w:r>
      <w:r w:rsidR="001A7FC4" w:rsidRPr="00E0705D">
        <w:rPr>
          <w:rStyle w:val="21"/>
          <w:sz w:val="28"/>
          <w:szCs w:val="28"/>
        </w:rPr>
        <w:t>–</w:t>
      </w:r>
      <w:r w:rsidR="008431D4" w:rsidRPr="00E0705D">
        <w:rPr>
          <w:rStyle w:val="21"/>
          <w:sz w:val="28"/>
          <w:szCs w:val="28"/>
        </w:rPr>
        <w:t xml:space="preserve"> </w:t>
      </w:r>
      <w:r w:rsidR="002D7F0B">
        <w:rPr>
          <w:rStyle w:val="21"/>
          <w:sz w:val="28"/>
          <w:szCs w:val="28"/>
        </w:rPr>
        <w:t>1</w:t>
      </w:r>
      <w:r>
        <w:rPr>
          <w:rStyle w:val="21"/>
          <w:sz w:val="28"/>
          <w:szCs w:val="28"/>
        </w:rPr>
        <w:t>1</w:t>
      </w:r>
      <w:r w:rsidR="002D7F0B">
        <w:rPr>
          <w:rStyle w:val="21"/>
          <w:sz w:val="28"/>
          <w:szCs w:val="28"/>
        </w:rPr>
        <w:t>.0</w:t>
      </w:r>
      <w:r>
        <w:rPr>
          <w:rStyle w:val="21"/>
          <w:sz w:val="28"/>
          <w:szCs w:val="28"/>
        </w:rPr>
        <w:t>8</w:t>
      </w:r>
      <w:r w:rsidR="001A7FC4" w:rsidRPr="00E0705D">
        <w:rPr>
          <w:rStyle w:val="21"/>
          <w:sz w:val="28"/>
          <w:szCs w:val="28"/>
        </w:rPr>
        <w:t>.2026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рассмотрения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</w:t>
      </w:r>
      <w:r w:rsidR="00220D76">
        <w:rPr>
          <w:rStyle w:val="21"/>
          <w:sz w:val="28"/>
          <w:szCs w:val="28"/>
        </w:rPr>
        <w:t>2</w:t>
      </w:r>
      <w:r w:rsidRPr="00E0705D">
        <w:rPr>
          <w:rStyle w:val="21"/>
          <w:sz w:val="28"/>
          <w:szCs w:val="28"/>
        </w:rPr>
        <w:t>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оценки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10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объявления победителей отбора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3 рабочих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В течение </w:t>
      </w:r>
      <w:r w:rsidR="00EE6C9D" w:rsidRPr="00E0705D">
        <w:rPr>
          <w:rStyle w:val="21"/>
          <w:sz w:val="28"/>
          <w:szCs w:val="28"/>
        </w:rPr>
        <w:t>20</w:t>
      </w:r>
      <w:r w:rsidRPr="00E0705D">
        <w:rPr>
          <w:rStyle w:val="21"/>
          <w:sz w:val="28"/>
          <w:szCs w:val="28"/>
        </w:rPr>
        <w:t xml:space="preserve"> </w:t>
      </w:r>
      <w:r w:rsidR="00EE6C9D" w:rsidRPr="00E0705D">
        <w:rPr>
          <w:rStyle w:val="21"/>
          <w:sz w:val="28"/>
          <w:szCs w:val="28"/>
        </w:rPr>
        <w:t xml:space="preserve">рабочих </w:t>
      </w:r>
      <w:r w:rsidRPr="00E0705D">
        <w:rPr>
          <w:rStyle w:val="21"/>
          <w:sz w:val="28"/>
          <w:szCs w:val="28"/>
        </w:rPr>
        <w:t>дней со дня размещения результатов отбора.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Условия признания победителя отбора </w:t>
      </w:r>
      <w:proofErr w:type="gramStart"/>
      <w:r w:rsidRPr="00E0705D">
        <w:rPr>
          <w:rStyle w:val="21"/>
          <w:b/>
          <w:bCs/>
          <w:sz w:val="28"/>
          <w:szCs w:val="28"/>
        </w:rPr>
        <w:t>уклонившимся</w:t>
      </w:r>
      <w:proofErr w:type="gramEnd"/>
      <w:r w:rsidRPr="00E0705D">
        <w:rPr>
          <w:rStyle w:val="21"/>
          <w:b/>
          <w:bCs/>
          <w:sz w:val="28"/>
          <w:szCs w:val="28"/>
        </w:rPr>
        <w:t xml:space="preserve"> от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предусмотрено.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Необходимо привлечение </w:t>
      </w:r>
      <w:proofErr w:type="spellStart"/>
      <w:r w:rsidRPr="00E0705D">
        <w:rPr>
          <w:rStyle w:val="21"/>
          <w:b/>
          <w:bCs/>
          <w:sz w:val="28"/>
          <w:szCs w:val="28"/>
        </w:rPr>
        <w:t>софинансирования</w:t>
      </w:r>
      <w:proofErr w:type="spellEnd"/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требуется</w:t>
      </w:r>
    </w:p>
    <w:p w:rsidR="001B4B57" w:rsidRPr="00E0705D" w:rsidRDefault="008431D4">
      <w:pPr>
        <w:pStyle w:val="a5"/>
        <w:rPr>
          <w:sz w:val="28"/>
          <w:szCs w:val="28"/>
        </w:rPr>
      </w:pPr>
      <w:r w:rsidRPr="00E0705D">
        <w:rPr>
          <w:rStyle w:val="a4"/>
          <w:b/>
          <w:bCs/>
          <w:sz w:val="28"/>
          <w:szCs w:val="28"/>
        </w:rPr>
        <w:t>16. Результаты предоставления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482"/>
        <w:gridCol w:w="2477"/>
        <w:gridCol w:w="2491"/>
      </w:tblGrid>
      <w:tr w:rsidR="00EE6C9D" w:rsidRPr="00E0705D">
        <w:trPr>
          <w:trHeight w:hRule="exact" w:val="7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6C9D" w:rsidRPr="00E0705D" w:rsidRDefault="00EE6C9D">
            <w:pPr>
              <w:pStyle w:val="a7"/>
              <w:spacing w:line="331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 результата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Срок достижения</w:t>
            </w:r>
          </w:p>
        </w:tc>
      </w:tr>
      <w:tr w:rsidR="00EE6C9D" w:rsidRPr="00E0705D">
        <w:trPr>
          <w:trHeight w:hRule="exact" w:val="7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326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Единица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 w:rsidP="004167A8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3</w:t>
            </w:r>
            <w:r w:rsidR="004167A8">
              <w:rPr>
                <w:rStyle w:val="a6"/>
                <w:sz w:val="28"/>
                <w:szCs w:val="28"/>
              </w:rPr>
              <w:t>1</w:t>
            </w:r>
            <w:r w:rsidRPr="00E0705D">
              <w:rPr>
                <w:rStyle w:val="a6"/>
                <w:sz w:val="28"/>
                <w:szCs w:val="28"/>
              </w:rPr>
              <w:t>.1</w:t>
            </w:r>
            <w:r w:rsidR="004167A8">
              <w:rPr>
                <w:rStyle w:val="a6"/>
                <w:sz w:val="28"/>
                <w:szCs w:val="28"/>
              </w:rPr>
              <w:t>2</w:t>
            </w:r>
            <w:r w:rsidRPr="00E0705D">
              <w:rPr>
                <w:rStyle w:val="a6"/>
                <w:sz w:val="28"/>
                <w:szCs w:val="28"/>
              </w:rPr>
              <w:t>.2026</w:t>
            </w:r>
          </w:p>
        </w:tc>
      </w:tr>
    </w:tbl>
    <w:p w:rsidR="001B4B57" w:rsidRPr="00E0705D" w:rsidRDefault="001B4B57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:rsidR="001B4B57" w:rsidRPr="00E0705D" w:rsidRDefault="008431D4" w:rsidP="00EE6C9D">
      <w:pPr>
        <w:pStyle w:val="22"/>
        <w:numPr>
          <w:ilvl w:val="0"/>
          <w:numId w:val="18"/>
        </w:numPr>
        <w:tabs>
          <w:tab w:val="left" w:pos="344"/>
        </w:tabs>
        <w:spacing w:after="40" w:line="240" w:lineRule="auto"/>
        <w:ind w:left="0" w:firstLine="0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Предельный размер субсидии для одного получателя</w:t>
      </w:r>
    </w:p>
    <w:p w:rsidR="001B4B57" w:rsidRPr="00E0705D" w:rsidRDefault="002D7F0B">
      <w:pPr>
        <w:pStyle w:val="22"/>
        <w:spacing w:after="360" w:line="240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>1 5</w:t>
      </w:r>
      <w:r w:rsidR="00EE6C9D" w:rsidRPr="00E0705D">
        <w:rPr>
          <w:rStyle w:val="21"/>
          <w:sz w:val="28"/>
          <w:szCs w:val="28"/>
        </w:rPr>
        <w:t>00</w:t>
      </w:r>
      <w:r w:rsidR="008431D4" w:rsidRPr="00E0705D">
        <w:rPr>
          <w:rStyle w:val="21"/>
          <w:sz w:val="28"/>
          <w:szCs w:val="28"/>
        </w:rPr>
        <w:t xml:space="preserve"> 000,00 </w:t>
      </w:r>
      <w:r w:rsidR="00EE6C9D" w:rsidRPr="00E0705D">
        <w:rPr>
          <w:rStyle w:val="21"/>
          <w:rFonts w:eastAsia="Arial"/>
          <w:sz w:val="28"/>
          <w:szCs w:val="28"/>
        </w:rPr>
        <w:t>р.</w:t>
      </w:r>
    </w:p>
    <w:p w:rsidR="001B4B57" w:rsidRPr="00E0705D" w:rsidRDefault="008431D4" w:rsidP="00EE6C9D">
      <w:pPr>
        <w:pStyle w:val="11"/>
        <w:spacing w:before="260" w:after="260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Порядок проведения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3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подачи заявок и требования к их содержанию и форме</w:t>
      </w:r>
    </w:p>
    <w:p w:rsidR="001B4B57" w:rsidRPr="00E0705D" w:rsidRDefault="008431D4">
      <w:pPr>
        <w:pStyle w:val="22"/>
        <w:spacing w:after="16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Заявки формируются в электронной форме и подписываются: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spacing w:after="160"/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E0705D">
        <w:rPr>
          <w:rStyle w:val="21"/>
          <w:sz w:val="28"/>
          <w:szCs w:val="28"/>
        </w:rPr>
        <w:t>ии и ау</w:t>
      </w:r>
      <w:proofErr w:type="gramEnd"/>
      <w:r w:rsidRPr="00E0705D">
        <w:rPr>
          <w:rStyle w:val="2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отзыва заявок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отозвать заявку в срок не позднее даты окончания срока приема заявок, направив в Администрацию заявление об отзыве заявки путем формирования в системе «Электронный бюджет» соответствующего заявления.</w:t>
      </w:r>
    </w:p>
    <w:p w:rsidR="00EE6C9D" w:rsidRPr="00E0705D" w:rsidRDefault="00EE6C9D" w:rsidP="00E0705D">
      <w:pPr>
        <w:pStyle w:val="22"/>
        <w:tabs>
          <w:tab w:val="left" w:pos="342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Порядок внесения </w:t>
      </w:r>
      <w:bookmarkStart w:id="0" w:name="_GoBack"/>
      <w:bookmarkEnd w:id="0"/>
      <w:r w:rsidRPr="00E0705D">
        <w:rPr>
          <w:rStyle w:val="21"/>
          <w:b/>
          <w:bCs/>
          <w:sz w:val="28"/>
          <w:szCs w:val="28"/>
        </w:rPr>
        <w:t>изменения в заявки</w:t>
      </w:r>
    </w:p>
    <w:p w:rsidR="001B4B57" w:rsidRPr="00E0705D" w:rsidRDefault="00EE6C9D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рассмотрения заявок на предмет их соответствия установленным требованиям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lastRenderedPageBreak/>
        <w:t xml:space="preserve">Конкурсная комиссия не позднее </w:t>
      </w:r>
      <w:r w:rsidR="00220D76">
        <w:rPr>
          <w:rStyle w:val="a3"/>
          <w:sz w:val="28"/>
          <w:szCs w:val="28"/>
        </w:rPr>
        <w:t>2</w:t>
      </w:r>
      <w:r w:rsidRPr="00E0705D">
        <w:rPr>
          <w:rStyle w:val="a3"/>
          <w:sz w:val="28"/>
          <w:szCs w:val="28"/>
        </w:rPr>
        <w:t>0 календарных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пунктом 2.6 Порядка.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33003" w:rsidRPr="00E0705D" w:rsidRDefault="00533003" w:rsidP="00E0705D">
      <w:pPr>
        <w:pStyle w:val="22"/>
        <w:numPr>
          <w:ilvl w:val="1"/>
          <w:numId w:val="19"/>
        </w:numPr>
        <w:tabs>
          <w:tab w:val="left" w:pos="0"/>
        </w:tabs>
        <w:spacing w:line="276" w:lineRule="auto"/>
        <w:ind w:left="0" w:firstLine="0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a3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a3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a3"/>
          <w:sz w:val="28"/>
          <w:szCs w:val="28"/>
        </w:rPr>
        <w:t xml:space="preserve"> акционерных обществ;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a3"/>
          <w:sz w:val="28"/>
          <w:szCs w:val="28"/>
        </w:rPr>
        <w:t>контроле за</w:t>
      </w:r>
      <w:proofErr w:type="gramEnd"/>
      <w:r w:rsidRPr="00E0705D">
        <w:rPr>
          <w:rStyle w:val="a3"/>
          <w:sz w:val="28"/>
          <w:szCs w:val="28"/>
        </w:rPr>
        <w:t xml:space="preserve"> деятельностью лиц, находящихся под иностранным </w:t>
      </w:r>
      <w:r w:rsidRPr="00E0705D">
        <w:rPr>
          <w:rStyle w:val="a3"/>
          <w:sz w:val="28"/>
          <w:szCs w:val="28"/>
        </w:rPr>
        <w:lastRenderedPageBreak/>
        <w:t>влиянием»;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a3"/>
          <w:sz w:val="28"/>
          <w:szCs w:val="28"/>
        </w:rPr>
        <w:t xml:space="preserve"> местной администрацией).</w:t>
      </w:r>
    </w:p>
    <w:p w:rsidR="001B4B57" w:rsidRPr="00E0705D" w:rsidRDefault="00533003" w:rsidP="00533003">
      <w:pPr>
        <w:pStyle w:val="22"/>
        <w:tabs>
          <w:tab w:val="left" w:pos="344"/>
        </w:tabs>
        <w:spacing w:line="360" w:lineRule="auto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4. </w:t>
      </w:r>
      <w:r w:rsidR="008431D4" w:rsidRPr="00E0705D">
        <w:rPr>
          <w:rStyle w:val="21"/>
          <w:b/>
          <w:bCs/>
          <w:sz w:val="28"/>
          <w:szCs w:val="28"/>
        </w:rPr>
        <w:t>Основания для отклонения заявок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участника конкурса подлежит отклонению по следующим основаниям: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участника конкурса требованиям, установленным пунктом 2.6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СОНКО не соответствует категориям, установленным настоящим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непредставление (представление не в полном объеме) документов, установленных в объявление о проведение отбора, предусмотренных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отбора, 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представлено более одной заявки;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направления программы (проекта) перечню направлений, указанному в пункте 1.8 настоящего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заявка поступила после окончания срока приема заявок;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установление факта недостоверности предоставленной информации</w:t>
      </w:r>
    </w:p>
    <w:p w:rsidR="00533003" w:rsidRPr="00E0705D" w:rsidRDefault="00533003" w:rsidP="00533003">
      <w:pPr>
        <w:pStyle w:val="11"/>
        <w:tabs>
          <w:tab w:val="left" w:pos="262"/>
        </w:tabs>
        <w:rPr>
          <w:sz w:val="28"/>
          <w:szCs w:val="28"/>
        </w:rPr>
      </w:pPr>
    </w:p>
    <w:p w:rsidR="00E0705D" w:rsidRPr="00E0705D" w:rsidRDefault="008431D4">
      <w:pPr>
        <w:pStyle w:val="22"/>
        <w:numPr>
          <w:ilvl w:val="0"/>
          <w:numId w:val="8"/>
        </w:numPr>
        <w:tabs>
          <w:tab w:val="left" w:pos="344"/>
        </w:tabs>
        <w:rPr>
          <w:rStyle w:val="21"/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 </w:t>
      </w:r>
    </w:p>
    <w:p w:rsidR="001B4B57" w:rsidRPr="00E0705D" w:rsidRDefault="008431D4" w:rsidP="00E0705D">
      <w:pPr>
        <w:pStyle w:val="22"/>
        <w:tabs>
          <w:tab w:val="left" w:pos="344"/>
        </w:tabs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Участник Конкурса со дня размещения объявления на едином портале, но не позднее 3-го рабочего </w:t>
      </w:r>
      <w:r w:rsidRPr="00E0705D">
        <w:rPr>
          <w:rStyle w:val="a3"/>
          <w:sz w:val="28"/>
          <w:szCs w:val="28"/>
        </w:rPr>
        <w:t xml:space="preserve">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Pr="00E0705D">
        <w:rPr>
          <w:rStyle w:val="a3"/>
          <w:sz w:val="28"/>
          <w:szCs w:val="28"/>
        </w:rPr>
        <w:lastRenderedPageBreak/>
        <w:t>«Электронный бюджет» соответствующего запроса. Конкурсная комиссия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«Электронный бюджет»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1B4B57" w:rsidRPr="00E0705D" w:rsidRDefault="008431D4" w:rsidP="00E0705D">
      <w:pPr>
        <w:pStyle w:val="11"/>
        <w:spacing w:after="28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«Электронный бюджет».</w:t>
      </w:r>
    </w:p>
    <w:p w:rsidR="001B4B57" w:rsidRPr="00E0705D" w:rsidRDefault="008431D4">
      <w:pPr>
        <w:pStyle w:val="22"/>
        <w:numPr>
          <w:ilvl w:val="0"/>
          <w:numId w:val="8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Документация по отбору</w:t>
      </w:r>
    </w:p>
    <w:p w:rsidR="001B4B57" w:rsidRPr="00E0705D" w:rsidRDefault="00043414">
      <w:pPr>
        <w:pStyle w:val="22"/>
        <w:numPr>
          <w:ilvl w:val="0"/>
          <w:numId w:val="11"/>
        </w:numPr>
        <w:tabs>
          <w:tab w:val="left" w:pos="320"/>
        </w:tabs>
        <w:spacing w:line="331" w:lineRule="auto"/>
        <w:rPr>
          <w:sz w:val="28"/>
          <w:szCs w:val="28"/>
        </w:rPr>
      </w:pPr>
      <w:hyperlink r:id="rId9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Смета</w:t>
        </w:r>
      </w:hyperlink>
    </w:p>
    <w:p w:rsidR="001B4B57" w:rsidRPr="00E0705D" w:rsidRDefault="00043414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0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Проект</w:t>
        </w:r>
      </w:hyperlink>
    </w:p>
    <w:p w:rsidR="001B4B57" w:rsidRPr="00E0705D" w:rsidRDefault="00043414">
      <w:pPr>
        <w:pStyle w:val="22"/>
        <w:numPr>
          <w:ilvl w:val="0"/>
          <w:numId w:val="11"/>
        </w:numPr>
        <w:tabs>
          <w:tab w:val="left" w:pos="334"/>
        </w:tabs>
        <w:spacing w:line="331" w:lineRule="auto"/>
        <w:rPr>
          <w:sz w:val="28"/>
          <w:szCs w:val="28"/>
        </w:rPr>
      </w:pPr>
      <w:hyperlink r:id="rId11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Критерии оценок заявок</w:t>
        </w:r>
      </w:hyperlink>
    </w:p>
    <w:p w:rsidR="001B4B57" w:rsidRPr="00E0705D" w:rsidRDefault="00043414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2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Отчетная документация</w:t>
        </w:r>
      </w:hyperlink>
    </w:p>
    <w:p w:rsidR="00533003" w:rsidRPr="00E0705D" w:rsidRDefault="00533003" w:rsidP="00533003">
      <w:pPr>
        <w:pStyle w:val="22"/>
        <w:tabs>
          <w:tab w:val="left" w:pos="339"/>
        </w:tabs>
        <w:spacing w:line="331" w:lineRule="auto"/>
        <w:rPr>
          <w:sz w:val="28"/>
          <w:szCs w:val="28"/>
        </w:rPr>
      </w:pPr>
    </w:p>
    <w:p w:rsidR="001B4B57" w:rsidRPr="00E0705D" w:rsidRDefault="008431D4" w:rsidP="00E0705D">
      <w:pPr>
        <w:pStyle w:val="11"/>
        <w:spacing w:after="340" w:line="240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Критерии рассмотрения и оценки заявок</w:t>
      </w:r>
    </w:p>
    <w:p w:rsidR="001B4B57" w:rsidRPr="00E0705D" w:rsidRDefault="008431D4">
      <w:pPr>
        <w:pStyle w:val="22"/>
        <w:numPr>
          <w:ilvl w:val="0"/>
          <w:numId w:val="12"/>
        </w:numPr>
        <w:tabs>
          <w:tab w:val="left" w:pos="33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Перечень документов, предоставляемых для подтверждения соответствия требованиям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Формируемая заявка должна содержать: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Информацию об участнике конкурса;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Заверенные печатью СОНКО (при наличии) и подписью уполномоченного лица СОНКО копии устава СОНКО, свидетельства о государственной регистрации некоммерческой организации, свидетельства о постановке на учет в налоговом органе.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Документы, подтверждающие полномочия руководителя и главного бухгалтера.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Проект, составленный по форме 1 приложения 2 к Порядку, содержащий информацию по критериям оценки заявок.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Смета расходов на реализацию проекта, заполненная по форме 2 приложения 2 к Порядку.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Пояснительная записка к смете, содержащая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Согласие на обработку персональных данных физических лиц, данные которых содержатся в заявке.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Согласие на размещение Комиссией в открытом доступе в сети «Интернет» сведений </w:t>
      </w:r>
      <w:r w:rsidRPr="00E0705D">
        <w:rPr>
          <w:rStyle w:val="a3"/>
          <w:sz w:val="28"/>
          <w:szCs w:val="28"/>
        </w:rPr>
        <w:lastRenderedPageBreak/>
        <w:t>об участнике конкурсного отбора.</w:t>
      </w:r>
    </w:p>
    <w:p w:rsidR="001B4B57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E0705D" w:rsidRPr="00E0705D" w:rsidRDefault="00E0705D" w:rsidP="00E0705D">
      <w:pPr>
        <w:pStyle w:val="11"/>
        <w:jc w:val="both"/>
        <w:rPr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18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Требования к участникам отбора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21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2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21"/>
          <w:sz w:val="28"/>
          <w:szCs w:val="28"/>
        </w:rPr>
        <w:t xml:space="preserve"> акционерных обществ;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lastRenderedPageBreak/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21"/>
          <w:sz w:val="28"/>
          <w:szCs w:val="28"/>
        </w:rPr>
        <w:t>контроле за</w:t>
      </w:r>
      <w:proofErr w:type="gramEnd"/>
      <w:r w:rsidRPr="00E0705D">
        <w:rPr>
          <w:rStyle w:val="21"/>
          <w:sz w:val="28"/>
          <w:szCs w:val="28"/>
        </w:rPr>
        <w:t xml:space="preserve"> деятельностью лиц, находящихся под иностранным влиянием»;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21"/>
          <w:sz w:val="28"/>
          <w:szCs w:val="28"/>
        </w:rPr>
        <w:t xml:space="preserve"> местной администрацией).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30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Информация о критериях и порядке оценки заявок</w:t>
      </w:r>
    </w:p>
    <w:p w:rsidR="001B4B57" w:rsidRPr="00E0705D" w:rsidRDefault="008431D4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Проходной балл: </w:t>
      </w:r>
      <w:r w:rsidRPr="00E0705D">
        <w:rPr>
          <w:rStyle w:val="21"/>
          <w:sz w:val="28"/>
          <w:szCs w:val="28"/>
        </w:rPr>
        <w:t>0,00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материально-технической базы СО НКО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</w:t>
      </w:r>
      <w:r w:rsidR="002D7F0B">
        <w:rPr>
          <w:rStyle w:val="21"/>
          <w:sz w:val="28"/>
          <w:szCs w:val="28"/>
        </w:rPr>
        <w:t>20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spacing w:line="271" w:lineRule="auto"/>
        <w:jc w:val="both"/>
        <w:rPr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 xml:space="preserve">СО НКО полностью обеспечена материально-техническими ресурсами (наличие офиса, офисной, в </w:t>
      </w:r>
      <w:proofErr w:type="spellStart"/>
      <w:r w:rsidRPr="00E0705D">
        <w:rPr>
          <w:rStyle w:val="a3"/>
          <w:sz w:val="28"/>
          <w:szCs w:val="28"/>
        </w:rPr>
        <w:t>т.ч</w:t>
      </w:r>
      <w:proofErr w:type="spellEnd"/>
      <w:r w:rsidRPr="00E0705D">
        <w:rPr>
          <w:rStyle w:val="a3"/>
          <w:sz w:val="28"/>
          <w:szCs w:val="28"/>
        </w:rPr>
        <w:t>. компьютерной, техники, транспорта) - 20 баллов;</w:t>
      </w:r>
      <w:proofErr w:type="gramEnd"/>
    </w:p>
    <w:p w:rsidR="001B4B57" w:rsidRPr="00E0705D" w:rsidRDefault="008431D4" w:rsidP="00E0705D">
      <w:pPr>
        <w:pStyle w:val="11"/>
        <w:spacing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СО НКО обладает материально-техническими ресурсами (наличие офиса, офисной, в </w:t>
      </w:r>
      <w:r w:rsidRPr="00E0705D">
        <w:rPr>
          <w:rStyle w:val="a3"/>
          <w:sz w:val="28"/>
          <w:szCs w:val="28"/>
        </w:rPr>
        <w:lastRenderedPageBreak/>
        <w:t>том числе компьютерной, техники) - 15 баллов;</w:t>
      </w:r>
    </w:p>
    <w:p w:rsidR="001B4B57" w:rsidRPr="00E0705D" w:rsidRDefault="008431D4" w:rsidP="00E0705D">
      <w:pPr>
        <w:pStyle w:val="11"/>
        <w:spacing w:after="260"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СО НКО не обладает материально-технической базой - 0 баллов.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квалифицированного персонала, реализующего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</w:t>
      </w:r>
      <w:r w:rsidR="002D7F0B">
        <w:rPr>
          <w:rStyle w:val="21"/>
          <w:sz w:val="28"/>
          <w:szCs w:val="28"/>
        </w:rPr>
        <w:t>20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сотрудники СО НКО, задействованные в Проекте, имеют необходимую квалификацию*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*Квалификация сотрудника определяется наличием профильного образования и/или стажа работы не менее 2-х лет.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Не все сотрудники СО НКО, задействованные в Проекте, обладают необходимой квалификацией для его реализации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Обоснованность сметы расходов Проекта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</w:t>
      </w:r>
      <w:r w:rsidR="002D7F0B">
        <w:rPr>
          <w:rStyle w:val="21"/>
          <w:sz w:val="28"/>
          <w:szCs w:val="28"/>
        </w:rPr>
        <w:t>2</w:t>
      </w:r>
      <w:r w:rsidRPr="00E0705D">
        <w:rPr>
          <w:rStyle w:val="21"/>
          <w:sz w:val="28"/>
          <w:szCs w:val="28"/>
        </w:rPr>
        <w:t>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статьи затрат на реализацию Проекта обоснованы, завышенные расходы на реализацию Проекта отсутствуют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статьи затрат на реализацию Проекта обоснованы, установлено завышение расходов не более чем по 2-м пунктам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Статьи затрат и расходы на реализацию Проекта не обоснованы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Количество привлекаемых к реализации Проекта волонтеров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Участие в подготовке и реализации Проекта свыше 10 волонтеров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Участие в подготовке и реализации Проекта от 1 до 10 волонтеров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волонтеров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Опыт реализации аналогичных Проектов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Присутствие опыта реализации аналогичных Проектов - 20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опыта - 0 баллов.</w:t>
      </w:r>
    </w:p>
    <w:p w:rsidR="001B4B57" w:rsidRPr="00E0705D" w:rsidRDefault="008431D4" w:rsidP="00E0705D">
      <w:pPr>
        <w:pStyle w:val="11"/>
        <w:spacing w:after="300" w:line="240" w:lineRule="auto"/>
        <w:jc w:val="both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Дополнительная информация</w:t>
      </w:r>
    </w:p>
    <w:p w:rsidR="001B4B57" w:rsidRPr="00E0705D" w:rsidRDefault="008431D4" w:rsidP="00E0705D">
      <w:pPr>
        <w:pStyle w:val="22"/>
        <w:spacing w:line="240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нет добавленных данных</w:t>
      </w:r>
    </w:p>
    <w:sectPr w:rsidR="001B4B57" w:rsidRPr="00E0705D">
      <w:footerReference w:type="default" r:id="rId13"/>
      <w:footerReference w:type="first" r:id="rId14"/>
      <w:pgSz w:w="11900" w:h="16840"/>
      <w:pgMar w:top="895" w:right="719" w:bottom="1019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14" w:rsidRDefault="00043414">
      <w:r>
        <w:separator/>
      </w:r>
    </w:p>
  </w:endnote>
  <w:endnote w:type="continuationSeparator" w:id="0">
    <w:p w:rsidR="00043414" w:rsidRDefault="0004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14" w:rsidRDefault="00043414"/>
  </w:footnote>
  <w:footnote w:type="continuationSeparator" w:id="0">
    <w:p w:rsidR="00043414" w:rsidRDefault="000434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E2"/>
    <w:multiLevelType w:val="multilevel"/>
    <w:tmpl w:val="B9964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36F05"/>
    <w:multiLevelType w:val="multilevel"/>
    <w:tmpl w:val="DCE84E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D0FBB"/>
    <w:multiLevelType w:val="multilevel"/>
    <w:tmpl w:val="42761C4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3E7A"/>
    <w:multiLevelType w:val="multilevel"/>
    <w:tmpl w:val="FD64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233CD4"/>
    <w:multiLevelType w:val="multilevel"/>
    <w:tmpl w:val="C36A6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F50B3"/>
    <w:multiLevelType w:val="multilevel"/>
    <w:tmpl w:val="593021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D574C0"/>
    <w:multiLevelType w:val="multilevel"/>
    <w:tmpl w:val="7C8A3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C80FF1"/>
    <w:multiLevelType w:val="multilevel"/>
    <w:tmpl w:val="A7FE3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F0A03"/>
    <w:multiLevelType w:val="multilevel"/>
    <w:tmpl w:val="8D0ED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A39E2"/>
    <w:multiLevelType w:val="multilevel"/>
    <w:tmpl w:val="842E78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12610"/>
    <w:multiLevelType w:val="multilevel"/>
    <w:tmpl w:val="E5126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200CF"/>
    <w:multiLevelType w:val="multilevel"/>
    <w:tmpl w:val="5DD65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16D61"/>
    <w:multiLevelType w:val="multilevel"/>
    <w:tmpl w:val="D1F2B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511F72"/>
    <w:multiLevelType w:val="multilevel"/>
    <w:tmpl w:val="13E82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C2F31"/>
    <w:multiLevelType w:val="multilevel"/>
    <w:tmpl w:val="2E549A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81BE1"/>
    <w:multiLevelType w:val="multilevel"/>
    <w:tmpl w:val="686201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662B2E"/>
    <w:multiLevelType w:val="multilevel"/>
    <w:tmpl w:val="9CCE28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47247A"/>
    <w:multiLevelType w:val="hybridMultilevel"/>
    <w:tmpl w:val="8E0E3684"/>
    <w:lvl w:ilvl="0" w:tplc="C83677C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034A4"/>
    <w:multiLevelType w:val="multilevel"/>
    <w:tmpl w:val="7276B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6"/>
  </w:num>
  <w:num w:numId="6">
    <w:abstractNumId w:val="5"/>
  </w:num>
  <w:num w:numId="7">
    <w:abstractNumId w:val="18"/>
  </w:num>
  <w:num w:numId="8">
    <w:abstractNumId w:val="1"/>
  </w:num>
  <w:num w:numId="9">
    <w:abstractNumId w:val="6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4B57"/>
    <w:rsid w:val="00043414"/>
    <w:rsid w:val="000D6CB4"/>
    <w:rsid w:val="001A7FC4"/>
    <w:rsid w:val="001B4B57"/>
    <w:rsid w:val="00220D76"/>
    <w:rsid w:val="00257ADA"/>
    <w:rsid w:val="002D7F0B"/>
    <w:rsid w:val="004167A8"/>
    <w:rsid w:val="00533003"/>
    <w:rsid w:val="008431D4"/>
    <w:rsid w:val="00E0705D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p-ram@yandex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mote.budget.gov.ru/m-data/document/selection/public/f1acc014-27bb-4592-9afa-2d4229639db0/30?competitionId=1a3fd65b-f165-434b-a957-7762f9bcd1cd&amp;documentId=12853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m-data/document/selection/public/f1acc014-27bb-4592-9afa-2d4229639db0/30?competitionId=1a3fd65b-f165-434b-a957-7762f9bcd1cd&amp;documentId=12853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mote.budget.gov.ru/m-data/document/selection/public/f1acc014-27bb-4592-9afa-2d4229639db0/30?competitionId=1a3fd65b-f165-434b-a957-7762f9bcd1cd&amp;documentId=128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m-data/document/selection/public/f1acc014-27bb-4592-9afa-2d4229639db0/30?competitionId=1a3fd65b-f165-434b-a957-7762f9bcd1cd&amp;documentId=12853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</vt:lpstr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dc:creator>P20U02</dc:creator>
  <cp:lastModifiedBy>P20U02</cp:lastModifiedBy>
  <cp:revision>3</cp:revision>
  <cp:lastPrinted>2026-05-13T12:49:00Z</cp:lastPrinted>
  <dcterms:created xsi:type="dcterms:W3CDTF">2026-07-06T13:01:00Z</dcterms:created>
  <dcterms:modified xsi:type="dcterms:W3CDTF">2026-07-06T13:06:00Z</dcterms:modified>
</cp:coreProperties>
</file>